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1A2BC4" w:rsidRDefault="0047783A" w:rsidP="001A2BC4">
      <w:pPr>
        <w:pStyle w:val="Titre1"/>
      </w:pPr>
      <w:bookmarkStart w:id="0" w:name="_Toc42488069"/>
      <w:r>
        <w:t>A.</w:t>
      </w:r>
      <w:r>
        <w:tab/>
        <w:t>INSTRUCTIONS AUX SOUMISSIONNAIRES</w:t>
      </w:r>
      <w:bookmarkEnd w:id="0"/>
    </w:p>
    <w:p w14:paraId="4730BCA1" w14:textId="5B30FBD2" w:rsidR="0047783A" w:rsidRPr="00E82463" w:rsidRDefault="0047783A">
      <w:pPr>
        <w:pStyle w:val="Sous-titre"/>
        <w:spacing w:after="240"/>
        <w:jc w:val="left"/>
        <w:rPr>
          <w:rFonts w:ascii="Times New Roman" w:hAnsi="Times New Roman"/>
          <w:szCs w:val="28"/>
        </w:rPr>
      </w:pPr>
      <w:r>
        <w:rPr>
          <w:rFonts w:ascii="Times New Roman" w:hAnsi="Times New Roman"/>
          <w:szCs w:val="28"/>
        </w:rPr>
        <w:t>RÉFÉRENCE DE LA PUBLICATION</w:t>
      </w:r>
      <w:r w:rsidR="004E477B">
        <w:rPr>
          <w:rFonts w:ascii="Times New Roman" w:hAnsi="Times New Roman"/>
          <w:szCs w:val="28"/>
        </w:rPr>
        <w:t xml:space="preserve"> </w:t>
      </w:r>
      <w:r>
        <w:rPr>
          <w:rFonts w:ascii="Times New Roman" w:hAnsi="Times New Roman"/>
          <w:szCs w:val="28"/>
        </w:rPr>
        <w:t xml:space="preserve">: </w:t>
      </w:r>
      <w:r w:rsidR="00E65C48" w:rsidRPr="001C0167">
        <w:rPr>
          <w:rFonts w:ascii="Times New Roman" w:hAnsi="Times New Roman"/>
          <w:lang w:val="fr-BE"/>
        </w:rPr>
        <w:t>BACE/RINDRA/02/2020</w:t>
      </w:r>
    </w:p>
    <w:p w14:paraId="33C13877" w14:textId="4A284A54" w:rsidR="0047783A" w:rsidRPr="00E82463" w:rsidRDefault="00121DE4">
      <w:pPr>
        <w:pStyle w:val="Sous-titre"/>
        <w:spacing w:before="0" w:after="240"/>
        <w:jc w:val="both"/>
        <w:rPr>
          <w:rFonts w:ascii="Times New Roman" w:hAnsi="Times New Roman"/>
          <w:sz w:val="22"/>
        </w:rPr>
      </w:pPr>
      <w:r>
        <w:rPr>
          <w:rFonts w:ascii="Times New Roman" w:hAnsi="Times New Roman"/>
          <w:sz w:val="22"/>
        </w:rPr>
        <w:t>En soumettant une offre, les soumissionnaires acceptent pleinement et sans restriction les conditions générales et particulières qui régissent le marché comme seule base du présent appel d’offres, quelles que soient leurs propres conditions de vente auxquelles ils déclarent renoncer. Les soumissionnaires sont réputés avoir examiné attentivement tous les formulaires, instructions, dispositions contractuelles et spécifications contenus dans le présent dossier d’appel d’offres et sont tenus de s’y conformer. Les soumissionnaires qui ne soumettent pas une offre contenant toutes les informations et tous les documents nécessaires avant la date limite verront leur offre rejetée. Il ne saurait être tenu compte des remarques éventuelles formulées dans l’offre à propos du dossier d’appel d’offres</w:t>
      </w:r>
      <w:r w:rsidR="00B93A22">
        <w:rPr>
          <w:rFonts w:ascii="Times New Roman" w:hAnsi="Times New Roman"/>
          <w:sz w:val="22"/>
        </w:rPr>
        <w:t xml:space="preserve"> </w:t>
      </w:r>
      <w:r>
        <w:rPr>
          <w:rFonts w:ascii="Times New Roman" w:hAnsi="Times New Roman"/>
          <w:sz w:val="22"/>
        </w:rPr>
        <w:t>; les remarques sont susceptibles d’entraîner le rejet immédiat de l’offre sans qu’il soit procédé à son évaluation.</w:t>
      </w:r>
    </w:p>
    <w:p w14:paraId="16A00E1E" w14:textId="06B86398" w:rsidR="00DA4D57" w:rsidRPr="00640E38" w:rsidRDefault="0047783A" w:rsidP="003051AA">
      <w:pPr>
        <w:pStyle w:val="Sous-titre"/>
        <w:spacing w:before="0" w:after="0"/>
        <w:jc w:val="both"/>
        <w:rPr>
          <w:rFonts w:ascii="Times New Roman" w:hAnsi="Times New Roman"/>
          <w:sz w:val="22"/>
          <w:szCs w:val="22"/>
        </w:rPr>
      </w:pPr>
      <w:r>
        <w:rPr>
          <w:rFonts w:ascii="Times New Roman" w:hAnsi="Times New Roman"/>
          <w:sz w:val="22"/>
          <w:szCs w:val="22"/>
        </w:rPr>
        <w:t>Les présentes instructions définissent les règles de soumission, de sélection et d’exécution des marchés financés au titre du présent appel d’offres, conformément aux dispositions du Guide pratique des procédures contractuelles applicables à l’action extérieure de l’UE (PRAG), qui est disponible sur l’internet à l’adresse suivante</w:t>
      </w:r>
      <w:r w:rsidR="00B93A22">
        <w:rPr>
          <w:rFonts w:ascii="Times New Roman" w:hAnsi="Times New Roman"/>
          <w:sz w:val="22"/>
          <w:szCs w:val="22"/>
        </w:rPr>
        <w:t xml:space="preserve"> </w:t>
      </w:r>
      <w:r>
        <w:rPr>
          <w:rFonts w:ascii="Times New Roman" w:hAnsi="Times New Roman"/>
          <w:sz w:val="22"/>
          <w:szCs w:val="22"/>
        </w:rPr>
        <w:t xml:space="preserve">: </w:t>
      </w:r>
      <w:hyperlink r:id="rId11" w:history="1">
        <w:r>
          <w:rPr>
            <w:rStyle w:val="Lienhypertexte"/>
            <w:rFonts w:ascii="Times New Roman" w:hAnsi="Times New Roman"/>
            <w:sz w:val="22"/>
            <w:szCs w:val="22"/>
          </w:rPr>
          <w:t>https://wikis.ec.europa.eu/display/ExactExternalWikiFR/ePRAG</w:t>
        </w:r>
      </w:hyperlink>
      <w:r>
        <w:rPr>
          <w:rFonts w:ascii="Times New Roman" w:hAnsi="Times New Roman"/>
          <w:sz w:val="22"/>
          <w:szCs w:val="22"/>
        </w:rPr>
        <w:t>).</w:t>
      </w:r>
    </w:p>
    <w:p w14:paraId="5CFB45BA" w14:textId="0FB87B78" w:rsidR="0047783A" w:rsidRPr="001A2BC4" w:rsidRDefault="00A633C6" w:rsidP="009956B4">
      <w:pPr>
        <w:pStyle w:val="Titre1"/>
      </w:pPr>
      <w:bookmarkStart w:id="1" w:name="_Toc42488070"/>
      <w:r>
        <w:t>1. Fournitures faisant l’objet du marché</w:t>
      </w:r>
      <w:bookmarkEnd w:id="1"/>
    </w:p>
    <w:p w14:paraId="2EAEE203" w14:textId="423C7B2F" w:rsidR="00C7322E" w:rsidRDefault="0047783A" w:rsidP="00DF7A40">
      <w:pPr>
        <w:pStyle w:val="Titre2"/>
        <w:keepNext w:val="0"/>
        <w:ind w:left="567" w:hanging="567"/>
        <w:jc w:val="both"/>
        <w:rPr>
          <w:rFonts w:ascii="Times New Roman" w:hAnsi="Times New Roman"/>
          <w:sz w:val="22"/>
        </w:rPr>
      </w:pPr>
      <w:r>
        <w:rPr>
          <w:rFonts w:ascii="Times New Roman" w:hAnsi="Times New Roman"/>
          <w:sz w:val="22"/>
        </w:rPr>
        <w:t>1.1</w:t>
      </w:r>
      <w:r>
        <w:rPr>
          <w:rFonts w:ascii="Times New Roman" w:hAnsi="Times New Roman"/>
          <w:sz w:val="22"/>
        </w:rPr>
        <w:tab/>
        <w:t>Le marché a pour objet</w:t>
      </w:r>
      <w:r w:rsidR="004E477B">
        <w:rPr>
          <w:rFonts w:ascii="Times New Roman" w:hAnsi="Times New Roman"/>
          <w:sz w:val="22"/>
        </w:rPr>
        <w:t xml:space="preserve"> </w:t>
      </w:r>
      <w:r>
        <w:rPr>
          <w:rFonts w:ascii="Times New Roman" w:hAnsi="Times New Roman"/>
          <w:sz w:val="22"/>
        </w:rPr>
        <w:t>:</w:t>
      </w:r>
    </w:p>
    <w:p w14:paraId="35D3B501" w14:textId="732F5D9C" w:rsidR="002001DB" w:rsidRDefault="002001DB" w:rsidP="002001DB">
      <w:pPr>
        <w:spacing w:before="0" w:after="0"/>
        <w:ind w:left="709" w:hanging="142"/>
        <w:jc w:val="both"/>
        <w:rPr>
          <w:rFonts w:ascii="Times New Roman" w:hAnsi="Times New Roman"/>
          <w:sz w:val="22"/>
        </w:rPr>
      </w:pPr>
      <w:r>
        <w:rPr>
          <w:rFonts w:ascii="Times New Roman" w:hAnsi="Times New Roman"/>
          <w:sz w:val="22"/>
        </w:rPr>
        <w:t>La f</w:t>
      </w:r>
      <w:r w:rsidRPr="00D55187">
        <w:rPr>
          <w:rFonts w:ascii="Times New Roman" w:hAnsi="Times New Roman"/>
          <w:sz w:val="22"/>
        </w:rPr>
        <w:t>ourniture</w:t>
      </w:r>
      <w:r w:rsidR="00E65C48">
        <w:rPr>
          <w:rFonts w:ascii="Times New Roman" w:hAnsi="Times New Roman"/>
          <w:sz w:val="22"/>
        </w:rPr>
        <w:t xml:space="preserve"> </w:t>
      </w:r>
      <w:r w:rsidR="00E65C48" w:rsidRPr="007F6C34">
        <w:rPr>
          <w:rFonts w:ascii="Times New Roman" w:hAnsi="Times New Roman"/>
          <w:bCs/>
          <w:iCs/>
          <w:sz w:val="22"/>
          <w:szCs w:val="22"/>
          <w:lang w:val="fr-BE" w:eastAsia="fr-FR" w:bidi="fr-FR"/>
        </w:rPr>
        <w:t>et livraison de matériels techniques au profit i) du Ministère de l’Agriculture et de l’Elevage, ii) du Ministère de la Pêche et de l’Economie Bleue, et iii) du Ministère de l’Environnement et du Développement Durable</w:t>
      </w:r>
      <w:r w:rsidR="007F6C34">
        <w:rPr>
          <w:rFonts w:ascii="Times New Roman" w:hAnsi="Times New Roman"/>
          <w:bCs/>
          <w:iCs/>
          <w:sz w:val="22"/>
          <w:szCs w:val="22"/>
          <w:lang w:val="fr-BE" w:eastAsia="fr-FR" w:bidi="fr-FR"/>
        </w:rPr>
        <w:t xml:space="preserve"> </w:t>
      </w:r>
      <w:r>
        <w:rPr>
          <w:rFonts w:ascii="Times New Roman" w:hAnsi="Times New Roman"/>
          <w:sz w:val="22"/>
        </w:rPr>
        <w:t>des fournitures suivantes :</w:t>
      </w:r>
    </w:p>
    <w:p w14:paraId="1B66D303" w14:textId="77777777" w:rsidR="002001DB" w:rsidRDefault="002001DB" w:rsidP="002001DB">
      <w:pPr>
        <w:spacing w:before="0" w:after="0"/>
        <w:ind w:left="709" w:hanging="142"/>
        <w:jc w:val="both"/>
        <w:rPr>
          <w:rFonts w:ascii="Times New Roman" w:hAnsi="Times New Roman"/>
          <w:sz w:val="22"/>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992"/>
        <w:gridCol w:w="2080"/>
        <w:gridCol w:w="897"/>
        <w:gridCol w:w="992"/>
        <w:gridCol w:w="993"/>
        <w:gridCol w:w="992"/>
        <w:gridCol w:w="29"/>
      </w:tblGrid>
      <w:tr w:rsidR="00D44D96" w:rsidRPr="008F3ABB" w14:paraId="5B593B2D" w14:textId="77777777" w:rsidTr="00553E0C">
        <w:tc>
          <w:tcPr>
            <w:tcW w:w="1951" w:type="dxa"/>
            <w:vMerge w:val="restart"/>
            <w:tcBorders>
              <w:top w:val="single" w:sz="4" w:space="0" w:color="auto"/>
              <w:left w:val="single" w:sz="4" w:space="0" w:color="auto"/>
              <w:right w:val="single" w:sz="4" w:space="0" w:color="auto"/>
            </w:tcBorders>
            <w:hideMark/>
          </w:tcPr>
          <w:p w14:paraId="02465BE5" w14:textId="77777777" w:rsidR="00D44D96" w:rsidRPr="008F3ABB" w:rsidRDefault="00D44D96" w:rsidP="001D1AF7">
            <w:pPr>
              <w:jc w:val="center"/>
              <w:outlineLvl w:val="0"/>
              <w:rPr>
                <w:rFonts w:ascii="Times New Roman" w:hAnsi="Times New Roman"/>
                <w:b/>
                <w:sz w:val="24"/>
                <w:szCs w:val="24"/>
                <w:highlight w:val="yellow"/>
                <w:lang w:val="fr-BE" w:eastAsia="fr-FR" w:bidi="fr-FR"/>
              </w:rPr>
            </w:pPr>
            <w:bookmarkStart w:id="2" w:name="_Hlk66098318"/>
            <w:r>
              <w:rPr>
                <w:rFonts w:ascii="Times New Roman" w:hAnsi="Times New Roman"/>
                <w:b/>
                <w:sz w:val="24"/>
                <w:szCs w:val="24"/>
                <w:lang w:val="fr-BE" w:eastAsia="fr-FR" w:bidi="fr-FR"/>
              </w:rPr>
              <w:t>LOTS</w:t>
            </w:r>
          </w:p>
        </w:tc>
        <w:tc>
          <w:tcPr>
            <w:tcW w:w="992" w:type="dxa"/>
            <w:vMerge w:val="restart"/>
            <w:tcBorders>
              <w:top w:val="single" w:sz="4" w:space="0" w:color="auto"/>
              <w:left w:val="single" w:sz="4" w:space="0" w:color="auto"/>
              <w:right w:val="single" w:sz="4" w:space="0" w:color="auto"/>
            </w:tcBorders>
          </w:tcPr>
          <w:p w14:paraId="604015FD" w14:textId="77777777" w:rsidR="00D44D96" w:rsidRPr="008F3ABB" w:rsidRDefault="00D44D96" w:rsidP="001D1AF7">
            <w:pPr>
              <w:jc w:val="center"/>
              <w:outlineLvl w:val="0"/>
              <w:rPr>
                <w:rFonts w:ascii="Times New Roman" w:hAnsi="Times New Roman"/>
                <w:b/>
                <w:sz w:val="24"/>
                <w:szCs w:val="24"/>
                <w:lang w:val="fr-BE" w:eastAsia="fr-FR" w:bidi="fr-FR"/>
              </w:rPr>
            </w:pPr>
            <w:r>
              <w:rPr>
                <w:rFonts w:ascii="Times New Roman" w:hAnsi="Times New Roman"/>
                <w:b/>
                <w:sz w:val="24"/>
                <w:szCs w:val="24"/>
                <w:lang w:val="fr-BE" w:eastAsia="fr-FR" w:bidi="fr-FR"/>
              </w:rPr>
              <w:t>Article</w:t>
            </w:r>
          </w:p>
        </w:tc>
        <w:tc>
          <w:tcPr>
            <w:tcW w:w="2080" w:type="dxa"/>
            <w:vMerge w:val="restart"/>
            <w:tcBorders>
              <w:top w:val="single" w:sz="4" w:space="0" w:color="auto"/>
              <w:left w:val="single" w:sz="4" w:space="0" w:color="auto"/>
              <w:right w:val="single" w:sz="4" w:space="0" w:color="auto"/>
            </w:tcBorders>
            <w:shd w:val="clear" w:color="auto" w:fill="auto"/>
            <w:hideMark/>
          </w:tcPr>
          <w:p w14:paraId="159874CA" w14:textId="77777777" w:rsidR="00D44D96" w:rsidRPr="008F3ABB" w:rsidRDefault="00D44D96" w:rsidP="001D1AF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Désignation</w:t>
            </w:r>
          </w:p>
        </w:tc>
        <w:tc>
          <w:tcPr>
            <w:tcW w:w="897" w:type="dxa"/>
            <w:vMerge w:val="restart"/>
            <w:tcBorders>
              <w:top w:val="single" w:sz="4" w:space="0" w:color="auto"/>
              <w:left w:val="single" w:sz="4" w:space="0" w:color="auto"/>
              <w:right w:val="single" w:sz="4" w:space="0" w:color="auto"/>
            </w:tcBorders>
            <w:hideMark/>
          </w:tcPr>
          <w:p w14:paraId="14C526C1" w14:textId="77777777" w:rsidR="00D44D96" w:rsidRPr="008F3ABB" w:rsidRDefault="00D44D96" w:rsidP="001D1AF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 xml:space="preserve">Qté </w:t>
            </w:r>
            <w:r>
              <w:rPr>
                <w:rFonts w:ascii="Times New Roman" w:hAnsi="Times New Roman"/>
                <w:b/>
                <w:sz w:val="24"/>
                <w:szCs w:val="24"/>
                <w:lang w:val="fr-BE" w:eastAsia="fr-FR" w:bidi="fr-FR"/>
              </w:rPr>
              <w:t>totale</w:t>
            </w:r>
          </w:p>
        </w:tc>
        <w:tc>
          <w:tcPr>
            <w:tcW w:w="3006" w:type="dxa"/>
            <w:gridSpan w:val="4"/>
            <w:tcBorders>
              <w:top w:val="single" w:sz="4" w:space="0" w:color="auto"/>
              <w:left w:val="single" w:sz="4" w:space="0" w:color="auto"/>
              <w:right w:val="single" w:sz="4" w:space="0" w:color="auto"/>
            </w:tcBorders>
          </w:tcPr>
          <w:p w14:paraId="2599B11D" w14:textId="0774075C" w:rsidR="00D44D96" w:rsidRPr="008F3ABB" w:rsidRDefault="00D44D96" w:rsidP="001D1AF7">
            <w:pPr>
              <w:spacing w:before="0" w:after="0"/>
              <w:jc w:val="center"/>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BENEFICIAIRE</w:t>
            </w:r>
            <w:r>
              <w:rPr>
                <w:rFonts w:ascii="Times New Roman" w:hAnsi="Times New Roman"/>
                <w:b/>
                <w:sz w:val="24"/>
                <w:szCs w:val="24"/>
                <w:lang w:val="fr-BE" w:eastAsia="fr-FR" w:bidi="fr-FR"/>
              </w:rPr>
              <w:t>S</w:t>
            </w:r>
          </w:p>
        </w:tc>
      </w:tr>
      <w:tr w:rsidR="00D44D96" w:rsidRPr="008F3ABB" w14:paraId="7B5206D6" w14:textId="77777777" w:rsidTr="00D44D96">
        <w:trPr>
          <w:gridAfter w:val="1"/>
          <w:wAfter w:w="29" w:type="dxa"/>
        </w:trPr>
        <w:tc>
          <w:tcPr>
            <w:tcW w:w="1951" w:type="dxa"/>
            <w:vMerge/>
            <w:tcBorders>
              <w:left w:val="single" w:sz="4" w:space="0" w:color="auto"/>
              <w:bottom w:val="single" w:sz="4" w:space="0" w:color="auto"/>
              <w:right w:val="single" w:sz="4" w:space="0" w:color="auto"/>
            </w:tcBorders>
          </w:tcPr>
          <w:p w14:paraId="094006AA" w14:textId="77777777" w:rsidR="00D44D96" w:rsidRPr="008F3ABB" w:rsidRDefault="00D44D96" w:rsidP="001D1AF7">
            <w:pPr>
              <w:outlineLvl w:val="0"/>
              <w:rPr>
                <w:rFonts w:ascii="Times New Roman" w:hAnsi="Times New Roman"/>
                <w:b/>
                <w:sz w:val="24"/>
                <w:szCs w:val="24"/>
                <w:lang w:val="fr-BE" w:eastAsia="fr-FR" w:bidi="fr-FR"/>
              </w:rPr>
            </w:pPr>
          </w:p>
        </w:tc>
        <w:tc>
          <w:tcPr>
            <w:tcW w:w="992" w:type="dxa"/>
            <w:vMerge/>
            <w:tcBorders>
              <w:left w:val="single" w:sz="4" w:space="0" w:color="auto"/>
              <w:bottom w:val="single" w:sz="4" w:space="0" w:color="auto"/>
              <w:right w:val="single" w:sz="4" w:space="0" w:color="auto"/>
            </w:tcBorders>
          </w:tcPr>
          <w:p w14:paraId="784C6F03" w14:textId="77777777" w:rsidR="00D44D96" w:rsidRPr="008F3ABB" w:rsidRDefault="00D44D96" w:rsidP="001D1AF7">
            <w:pPr>
              <w:jc w:val="center"/>
              <w:outlineLvl w:val="0"/>
              <w:rPr>
                <w:rFonts w:ascii="Times New Roman" w:hAnsi="Times New Roman"/>
                <w:b/>
                <w:sz w:val="24"/>
                <w:szCs w:val="24"/>
                <w:lang w:val="fr-BE" w:eastAsia="fr-FR" w:bidi="fr-FR"/>
              </w:rPr>
            </w:pPr>
          </w:p>
        </w:tc>
        <w:tc>
          <w:tcPr>
            <w:tcW w:w="2080" w:type="dxa"/>
            <w:vMerge/>
            <w:tcBorders>
              <w:left w:val="single" w:sz="4" w:space="0" w:color="auto"/>
              <w:bottom w:val="single" w:sz="4" w:space="0" w:color="auto"/>
              <w:right w:val="single" w:sz="4" w:space="0" w:color="auto"/>
            </w:tcBorders>
            <w:shd w:val="clear" w:color="auto" w:fill="auto"/>
          </w:tcPr>
          <w:p w14:paraId="274BBC54" w14:textId="77777777" w:rsidR="00D44D96" w:rsidRPr="008F3ABB" w:rsidRDefault="00D44D96" w:rsidP="001D1AF7">
            <w:pPr>
              <w:jc w:val="center"/>
              <w:outlineLvl w:val="0"/>
              <w:rPr>
                <w:rFonts w:ascii="Times New Roman" w:hAnsi="Times New Roman"/>
                <w:b/>
                <w:sz w:val="24"/>
                <w:szCs w:val="24"/>
                <w:lang w:val="fr-BE" w:eastAsia="fr-FR" w:bidi="fr-FR"/>
              </w:rPr>
            </w:pPr>
          </w:p>
        </w:tc>
        <w:tc>
          <w:tcPr>
            <w:tcW w:w="897" w:type="dxa"/>
            <w:vMerge/>
            <w:tcBorders>
              <w:left w:val="single" w:sz="4" w:space="0" w:color="auto"/>
              <w:bottom w:val="single" w:sz="4" w:space="0" w:color="auto"/>
              <w:right w:val="single" w:sz="4" w:space="0" w:color="auto"/>
            </w:tcBorders>
          </w:tcPr>
          <w:p w14:paraId="1F84AE45" w14:textId="77777777" w:rsidR="00D44D96" w:rsidRPr="008F3ABB" w:rsidRDefault="00D44D96" w:rsidP="001D1AF7">
            <w:pPr>
              <w:jc w:val="center"/>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tcPr>
          <w:p w14:paraId="401E590B" w14:textId="77777777" w:rsidR="00D44D96" w:rsidRPr="008F3ABB" w:rsidRDefault="00D44D96" w:rsidP="001D1AF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MinAE</w:t>
            </w:r>
          </w:p>
        </w:tc>
        <w:tc>
          <w:tcPr>
            <w:tcW w:w="993" w:type="dxa"/>
            <w:tcBorders>
              <w:top w:val="single" w:sz="4" w:space="0" w:color="auto"/>
              <w:left w:val="single" w:sz="4" w:space="0" w:color="auto"/>
              <w:bottom w:val="single" w:sz="4" w:space="0" w:color="auto"/>
              <w:right w:val="single" w:sz="4" w:space="0" w:color="auto"/>
            </w:tcBorders>
          </w:tcPr>
          <w:p w14:paraId="674ADBE0" w14:textId="2E8690FB" w:rsidR="00D44D96" w:rsidRPr="008F3ABB" w:rsidRDefault="00D44D96" w:rsidP="001D1AF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M</w:t>
            </w:r>
            <w:r>
              <w:rPr>
                <w:rFonts w:ascii="Times New Roman" w:hAnsi="Times New Roman"/>
                <w:b/>
                <w:sz w:val="24"/>
                <w:szCs w:val="24"/>
                <w:lang w:val="fr-BE" w:eastAsia="fr-FR" w:bidi="fr-FR"/>
              </w:rPr>
              <w:t>PEB</w:t>
            </w:r>
          </w:p>
        </w:tc>
        <w:tc>
          <w:tcPr>
            <w:tcW w:w="992" w:type="dxa"/>
            <w:tcBorders>
              <w:top w:val="single" w:sz="4" w:space="0" w:color="auto"/>
              <w:left w:val="single" w:sz="4" w:space="0" w:color="auto"/>
              <w:bottom w:val="single" w:sz="4" w:space="0" w:color="auto"/>
              <w:right w:val="single" w:sz="4" w:space="0" w:color="auto"/>
            </w:tcBorders>
          </w:tcPr>
          <w:p w14:paraId="3DE21B42" w14:textId="7078BE07" w:rsidR="00D44D96" w:rsidRPr="008F3ABB" w:rsidRDefault="00D44D96" w:rsidP="001D1AF7">
            <w:pPr>
              <w:jc w:val="center"/>
              <w:outlineLvl w:val="0"/>
              <w:rPr>
                <w:rFonts w:ascii="Times New Roman" w:hAnsi="Times New Roman"/>
                <w:b/>
                <w:sz w:val="24"/>
                <w:szCs w:val="24"/>
                <w:lang w:val="fr-BE" w:eastAsia="fr-FR" w:bidi="fr-FR"/>
              </w:rPr>
            </w:pPr>
            <w:r w:rsidRPr="008F3ABB">
              <w:rPr>
                <w:rFonts w:ascii="Times New Roman" w:hAnsi="Times New Roman"/>
                <w:b/>
                <w:sz w:val="24"/>
                <w:szCs w:val="24"/>
                <w:lang w:val="fr-BE" w:eastAsia="fr-FR" w:bidi="fr-FR"/>
              </w:rPr>
              <w:t>MEDD</w:t>
            </w:r>
          </w:p>
        </w:tc>
      </w:tr>
      <w:tr w:rsidR="00E62FBD" w:rsidRPr="008F3ABB" w14:paraId="33F5D3D3" w14:textId="77777777" w:rsidTr="00D44D96">
        <w:trPr>
          <w:gridAfter w:val="1"/>
          <w:wAfter w:w="29" w:type="dxa"/>
          <w:trHeight w:val="174"/>
        </w:trPr>
        <w:tc>
          <w:tcPr>
            <w:tcW w:w="1951" w:type="dxa"/>
            <w:vMerge w:val="restart"/>
            <w:tcBorders>
              <w:left w:val="single" w:sz="4" w:space="0" w:color="auto"/>
              <w:right w:val="single" w:sz="4" w:space="0" w:color="auto"/>
            </w:tcBorders>
            <w:vAlign w:val="center"/>
          </w:tcPr>
          <w:p w14:paraId="5707B995" w14:textId="193A79EE" w:rsidR="00E62FBD" w:rsidRPr="00E62FBD" w:rsidRDefault="00E62FBD" w:rsidP="00D44D96">
            <w:pPr>
              <w:spacing w:before="0" w:after="0"/>
              <w:outlineLvl w:val="0"/>
              <w:rPr>
                <w:rFonts w:ascii="Times New Roman" w:hAnsi="Times New Roman"/>
                <w:b/>
                <w:bCs/>
                <w:sz w:val="24"/>
                <w:szCs w:val="24"/>
                <w:highlight w:val="yellow"/>
                <w:lang w:val="fr-BE" w:eastAsia="fr-FR" w:bidi="fr-FR"/>
              </w:rPr>
            </w:pPr>
            <w:r w:rsidRPr="00E62FBD">
              <w:rPr>
                <w:rFonts w:ascii="Times New Roman" w:hAnsi="Times New Roman"/>
                <w:b/>
                <w:bCs/>
                <w:sz w:val="24"/>
                <w:szCs w:val="24"/>
                <w:lang w:val="fr-BE" w:eastAsia="fr-FR" w:bidi="fr-FR"/>
              </w:rPr>
              <w:t>N°1 : Equipements aquatiques</w:t>
            </w:r>
          </w:p>
        </w:tc>
        <w:tc>
          <w:tcPr>
            <w:tcW w:w="992" w:type="dxa"/>
            <w:tcBorders>
              <w:top w:val="single" w:sz="4" w:space="0" w:color="auto"/>
              <w:left w:val="single" w:sz="4" w:space="0" w:color="auto"/>
              <w:bottom w:val="single" w:sz="4" w:space="0" w:color="auto"/>
              <w:right w:val="single" w:sz="4" w:space="0" w:color="auto"/>
            </w:tcBorders>
          </w:tcPr>
          <w:p w14:paraId="5E6762F7" w14:textId="77777777" w:rsidR="00E62FBD" w:rsidRPr="00702956" w:rsidRDefault="00E62FBD" w:rsidP="00D44D96">
            <w:pPr>
              <w:jc w:val="cente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1</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3F4C95C4" w14:textId="403BE83C" w:rsidR="00E62FBD" w:rsidRPr="00702956" w:rsidRDefault="00E62FBD" w:rsidP="00D44D96">
            <w:pP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Flotteur de balisage</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781A5997" w14:textId="5B06CEB3" w:rsidR="00E62FBD" w:rsidRPr="006F706F" w:rsidRDefault="00E62FBD" w:rsidP="00D44D96">
            <w:pPr>
              <w:spacing w:before="0" w:after="0"/>
              <w:jc w:val="center"/>
              <w:outlineLvl w:val="0"/>
              <w:rPr>
                <w:rFonts w:ascii="Times New Roman" w:hAnsi="Times New Roman"/>
                <w:b/>
                <w:sz w:val="24"/>
                <w:szCs w:val="24"/>
                <w:lang w:val="fr-BE" w:eastAsia="fr-FR" w:bidi="fr-FR"/>
              </w:rPr>
            </w:pPr>
            <w:r>
              <w:rPr>
                <w:rFonts w:ascii="Times New Roman" w:hAnsi="Times New Roman"/>
                <w:b/>
                <w:sz w:val="24"/>
                <w:szCs w:val="24"/>
                <w:lang w:val="fr-BE" w:eastAsia="fr-FR" w:bidi="fr-FR"/>
              </w:rPr>
              <w:t>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EBEA72" w14:textId="64074906" w:rsidR="00E62FBD" w:rsidRPr="006F706F" w:rsidRDefault="00E62FBD" w:rsidP="00D44D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68DE32A" w14:textId="1957B272" w:rsidR="00E62FBD" w:rsidRPr="006F706F" w:rsidRDefault="00E62FBD" w:rsidP="00D44D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50B499" w14:textId="485C701A" w:rsidR="00E62FBD" w:rsidRPr="006F706F" w:rsidRDefault="00E62FBD" w:rsidP="00D44D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E62FBD" w:rsidRPr="008F3ABB" w14:paraId="7394FEFB"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8CC2256" w14:textId="77777777" w:rsidR="00E62FBD" w:rsidRPr="00702956" w:rsidRDefault="00E62FBD" w:rsidP="00D44D96">
            <w:pPr>
              <w:spacing w:before="0" w:after="0"/>
              <w:outlineLvl w:val="0"/>
              <w:rPr>
                <w:rFonts w:ascii="Times New Roman" w:hAnsi="Times New Roman"/>
                <w:bCs/>
                <w:sz w:val="24"/>
                <w:szCs w:val="24"/>
                <w:lang w:val="fr-BE" w:eastAsia="fr-FR" w:bidi="fr-FR"/>
              </w:rPr>
            </w:pPr>
          </w:p>
        </w:tc>
        <w:tc>
          <w:tcPr>
            <w:tcW w:w="992" w:type="dxa"/>
            <w:tcBorders>
              <w:left w:val="single" w:sz="4" w:space="0" w:color="auto"/>
              <w:bottom w:val="single" w:sz="4" w:space="0" w:color="auto"/>
              <w:right w:val="single" w:sz="4" w:space="0" w:color="auto"/>
            </w:tcBorders>
          </w:tcPr>
          <w:p w14:paraId="4A4E3188" w14:textId="77777777" w:rsidR="00E62FBD" w:rsidRPr="00702956" w:rsidRDefault="00E62FBD" w:rsidP="00D44D96">
            <w:pPr>
              <w:jc w:val="cente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2</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34CF04A6" w14:textId="2C6A650B" w:rsidR="00E62FBD" w:rsidRPr="00702956" w:rsidRDefault="00E62FBD" w:rsidP="00D44D96">
            <w:pP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Corde fluorescente</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4F230C5" w14:textId="10504500" w:rsidR="00E62FBD" w:rsidRPr="006F706F" w:rsidRDefault="00E62FBD" w:rsidP="00D44D96">
            <w:pPr>
              <w:spacing w:before="0" w:after="0"/>
              <w:jc w:val="center"/>
              <w:outlineLvl w:val="0"/>
              <w:rPr>
                <w:rFonts w:ascii="Times New Roman" w:hAnsi="Times New Roman"/>
                <w:b/>
                <w:sz w:val="24"/>
                <w:szCs w:val="24"/>
                <w:lang w:val="fr-BE" w:eastAsia="fr-FR" w:bidi="fr-FR"/>
              </w:rPr>
            </w:pPr>
            <w:r>
              <w:rPr>
                <w:rFonts w:ascii="Times New Roman" w:hAnsi="Times New Roman"/>
                <w:b/>
                <w:sz w:val="24"/>
                <w:szCs w:val="24"/>
                <w:lang w:val="fr-BE" w:eastAsia="fr-FR" w:bidi="fr-FR"/>
              </w:rPr>
              <w:t>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45AE96" w14:textId="06894F96" w:rsidR="00E62FBD" w:rsidRPr="006F706F" w:rsidRDefault="00E62FBD" w:rsidP="00D44D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E479319" w14:textId="55EC445B" w:rsidR="00E62FBD" w:rsidRPr="006F706F" w:rsidRDefault="00E62FBD" w:rsidP="00D44D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E3016B" w14:textId="0666FE0D" w:rsidR="00E62FBD" w:rsidRPr="006F706F" w:rsidRDefault="00E62FBD" w:rsidP="00D44D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74F758B1" w14:textId="77777777" w:rsidTr="00D44D96">
        <w:trPr>
          <w:gridAfter w:val="1"/>
          <w:wAfter w:w="29" w:type="dxa"/>
          <w:trHeight w:val="174"/>
        </w:trPr>
        <w:tc>
          <w:tcPr>
            <w:tcW w:w="1951" w:type="dxa"/>
            <w:vMerge w:val="restart"/>
            <w:tcBorders>
              <w:top w:val="single" w:sz="4" w:space="0" w:color="auto"/>
              <w:left w:val="single" w:sz="4" w:space="0" w:color="auto"/>
              <w:right w:val="single" w:sz="4" w:space="0" w:color="auto"/>
            </w:tcBorders>
            <w:vAlign w:val="center"/>
          </w:tcPr>
          <w:p w14:paraId="3606DF44" w14:textId="31198157" w:rsidR="00D44D96" w:rsidRPr="00702956" w:rsidRDefault="00D44D96" w:rsidP="003E6A96">
            <w:pPr>
              <w:spacing w:before="0" w:after="0"/>
              <w:outlineLvl w:val="0"/>
              <w:rPr>
                <w:rFonts w:ascii="Times New Roman" w:hAnsi="Times New Roman"/>
                <w:bCs/>
                <w:sz w:val="24"/>
                <w:szCs w:val="24"/>
                <w:lang w:val="fr-BE" w:eastAsia="fr-FR" w:bidi="fr-FR"/>
              </w:rPr>
            </w:pPr>
            <w:r w:rsidRPr="00585448">
              <w:rPr>
                <w:rFonts w:ascii="Times New Roman" w:hAnsi="Times New Roman"/>
                <w:b/>
                <w:sz w:val="24"/>
                <w:szCs w:val="24"/>
                <w:lang w:val="fr-BE" w:eastAsia="fr-FR" w:bidi="fr-FR"/>
              </w:rPr>
              <w:t>N°2</w:t>
            </w:r>
            <w:r w:rsidRPr="00702956">
              <w:rPr>
                <w:rFonts w:ascii="Times New Roman" w:hAnsi="Times New Roman"/>
                <w:bCs/>
                <w:sz w:val="24"/>
                <w:szCs w:val="24"/>
                <w:lang w:val="fr-BE" w:eastAsia="fr-FR" w:bidi="fr-FR"/>
              </w:rPr>
              <w:t xml:space="preserve"> : </w:t>
            </w:r>
            <w:r>
              <w:rPr>
                <w:rFonts w:ascii="Times New Roman" w:hAnsi="Times New Roman"/>
                <w:bCs/>
                <w:sz w:val="24"/>
                <w:szCs w:val="24"/>
                <w:lang w:val="fr-BE" w:eastAsia="fr-FR" w:bidi="fr-FR"/>
              </w:rPr>
              <w:t>Equipements de laboratoire</w:t>
            </w:r>
          </w:p>
        </w:tc>
        <w:tc>
          <w:tcPr>
            <w:tcW w:w="992" w:type="dxa"/>
            <w:tcBorders>
              <w:top w:val="single" w:sz="4" w:space="0" w:color="auto"/>
              <w:left w:val="single" w:sz="4" w:space="0" w:color="auto"/>
              <w:bottom w:val="single" w:sz="4" w:space="0" w:color="auto"/>
              <w:right w:val="single" w:sz="4" w:space="0" w:color="auto"/>
            </w:tcBorders>
            <w:vAlign w:val="center"/>
          </w:tcPr>
          <w:p w14:paraId="40B005C0" w14:textId="7BB2CA61" w:rsidR="00D44D96" w:rsidRPr="00702956" w:rsidRDefault="00D44D96" w:rsidP="003E6A96">
            <w:pPr>
              <w:jc w:val="center"/>
              <w:rPr>
                <w:rFonts w:ascii="Times New Roman" w:hAnsi="Times New Roman"/>
                <w:bCs/>
                <w:sz w:val="24"/>
                <w:szCs w:val="24"/>
                <w:highlight w:val="yellow"/>
                <w:lang w:val="fr-BE" w:eastAsia="fr-FR" w:bidi="fr-FR"/>
              </w:rPr>
            </w:pPr>
            <w:r w:rsidRPr="001C0167">
              <w:rPr>
                <w:rFonts w:ascii="Times New Roman" w:hAnsi="Times New Roman"/>
                <w:bCs/>
                <w:sz w:val="22"/>
                <w:szCs w:val="22"/>
                <w:lang w:val="fr-BE"/>
              </w:rPr>
              <w:t>1</w:t>
            </w:r>
          </w:p>
        </w:tc>
        <w:tc>
          <w:tcPr>
            <w:tcW w:w="2080" w:type="dxa"/>
            <w:tcBorders>
              <w:top w:val="nil"/>
              <w:left w:val="single" w:sz="4" w:space="0" w:color="auto"/>
              <w:bottom w:val="single" w:sz="8" w:space="0" w:color="auto"/>
              <w:right w:val="single" w:sz="8" w:space="0" w:color="auto"/>
            </w:tcBorders>
            <w:shd w:val="clear" w:color="auto" w:fill="auto"/>
            <w:vAlign w:val="center"/>
          </w:tcPr>
          <w:p w14:paraId="3BD96C9E" w14:textId="150AE274"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Balances avec cage de pesée</w:t>
            </w:r>
          </w:p>
        </w:tc>
        <w:tc>
          <w:tcPr>
            <w:tcW w:w="897" w:type="dxa"/>
            <w:tcBorders>
              <w:top w:val="nil"/>
              <w:left w:val="nil"/>
              <w:bottom w:val="single" w:sz="8" w:space="0" w:color="auto"/>
              <w:right w:val="single" w:sz="8" w:space="0" w:color="auto"/>
            </w:tcBorders>
            <w:shd w:val="clear" w:color="auto" w:fill="auto"/>
            <w:vAlign w:val="center"/>
          </w:tcPr>
          <w:p w14:paraId="1F28C962" w14:textId="064E2537"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C28239" w14:textId="12A10B1F"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30ACBCE" w14:textId="4734696C"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39647F" w14:textId="40BD20D0"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47E9512B"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ADA82D1"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BD968C3" w14:textId="5D9E2F51"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2</w:t>
            </w:r>
          </w:p>
        </w:tc>
        <w:tc>
          <w:tcPr>
            <w:tcW w:w="2080" w:type="dxa"/>
            <w:tcBorders>
              <w:top w:val="nil"/>
              <w:left w:val="single" w:sz="4" w:space="0" w:color="auto"/>
              <w:bottom w:val="single" w:sz="8" w:space="0" w:color="auto"/>
              <w:right w:val="single" w:sz="8" w:space="0" w:color="auto"/>
            </w:tcBorders>
            <w:shd w:val="clear" w:color="auto" w:fill="auto"/>
            <w:vAlign w:val="center"/>
          </w:tcPr>
          <w:p w14:paraId="1E94DCB4" w14:textId="188A1297"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Agitateurs magnétiques chauffants</w:t>
            </w:r>
          </w:p>
        </w:tc>
        <w:tc>
          <w:tcPr>
            <w:tcW w:w="897" w:type="dxa"/>
            <w:tcBorders>
              <w:top w:val="nil"/>
              <w:left w:val="nil"/>
              <w:bottom w:val="single" w:sz="8" w:space="0" w:color="auto"/>
              <w:right w:val="single" w:sz="8" w:space="0" w:color="auto"/>
            </w:tcBorders>
            <w:shd w:val="clear" w:color="auto" w:fill="auto"/>
            <w:vAlign w:val="center"/>
          </w:tcPr>
          <w:p w14:paraId="4FE3B364" w14:textId="7EF665C0"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65E089" w14:textId="33C88CD6"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863E678" w14:textId="2FCFCBA1"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B8D8FCB" w14:textId="51C3A9D1"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348385FD"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B61692D"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30CDB15" w14:textId="03F7EE5F"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3</w:t>
            </w:r>
          </w:p>
        </w:tc>
        <w:tc>
          <w:tcPr>
            <w:tcW w:w="2080" w:type="dxa"/>
            <w:tcBorders>
              <w:top w:val="nil"/>
              <w:left w:val="single" w:sz="4" w:space="0" w:color="auto"/>
              <w:bottom w:val="single" w:sz="8" w:space="0" w:color="auto"/>
              <w:right w:val="single" w:sz="8" w:space="0" w:color="auto"/>
            </w:tcBorders>
            <w:shd w:val="clear" w:color="auto" w:fill="auto"/>
            <w:vAlign w:val="center"/>
          </w:tcPr>
          <w:p w14:paraId="7F3D98A8" w14:textId="598058E0"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Agitateur vortex</w:t>
            </w:r>
          </w:p>
        </w:tc>
        <w:tc>
          <w:tcPr>
            <w:tcW w:w="897" w:type="dxa"/>
            <w:tcBorders>
              <w:top w:val="nil"/>
              <w:left w:val="nil"/>
              <w:bottom w:val="single" w:sz="8" w:space="0" w:color="auto"/>
              <w:right w:val="single" w:sz="8" w:space="0" w:color="auto"/>
            </w:tcBorders>
            <w:shd w:val="clear" w:color="auto" w:fill="auto"/>
            <w:vAlign w:val="center"/>
          </w:tcPr>
          <w:p w14:paraId="791651AD" w14:textId="4DAA6E7C"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848425F" w14:textId="21965ACD"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7271F56" w14:textId="47107476"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EA0480" w14:textId="5D50A044"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33A9006E"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0F5F2CD"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6707198" w14:textId="2BDE6337"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4</w:t>
            </w:r>
          </w:p>
        </w:tc>
        <w:tc>
          <w:tcPr>
            <w:tcW w:w="2080" w:type="dxa"/>
            <w:tcBorders>
              <w:top w:val="nil"/>
              <w:left w:val="single" w:sz="4" w:space="0" w:color="auto"/>
              <w:bottom w:val="single" w:sz="8" w:space="0" w:color="auto"/>
              <w:right w:val="single" w:sz="8" w:space="0" w:color="auto"/>
            </w:tcBorders>
            <w:shd w:val="clear" w:color="auto" w:fill="auto"/>
            <w:vAlign w:val="center"/>
          </w:tcPr>
          <w:p w14:paraId="02C2CD3B" w14:textId="0D9106A8"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Thermocycleur</w:t>
            </w:r>
            <w:r w:rsidRPr="001C0167">
              <w:rPr>
                <w:rFonts w:ascii="Times New Roman" w:hAnsi="Times New Roman"/>
                <w:sz w:val="22"/>
                <w:szCs w:val="22"/>
                <w:lang w:val="fr-BE"/>
              </w:rPr>
              <w:t xml:space="preserve"> </w:t>
            </w:r>
          </w:p>
        </w:tc>
        <w:tc>
          <w:tcPr>
            <w:tcW w:w="897" w:type="dxa"/>
            <w:tcBorders>
              <w:top w:val="nil"/>
              <w:left w:val="nil"/>
              <w:bottom w:val="single" w:sz="8" w:space="0" w:color="auto"/>
              <w:right w:val="single" w:sz="8" w:space="0" w:color="auto"/>
            </w:tcBorders>
            <w:shd w:val="clear" w:color="auto" w:fill="auto"/>
            <w:vAlign w:val="center"/>
          </w:tcPr>
          <w:p w14:paraId="06481153" w14:textId="1E5D6F14"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5CD5C2C" w14:textId="792142E4"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255C53E" w14:textId="0C101E24"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7C87C5" w14:textId="6161018D"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7F91A649"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DC11576"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3615CF4" w14:textId="0FB90E10"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5</w:t>
            </w:r>
          </w:p>
        </w:tc>
        <w:tc>
          <w:tcPr>
            <w:tcW w:w="2080" w:type="dxa"/>
            <w:tcBorders>
              <w:top w:val="nil"/>
              <w:left w:val="single" w:sz="4" w:space="0" w:color="auto"/>
              <w:bottom w:val="single" w:sz="8" w:space="0" w:color="auto"/>
              <w:right w:val="single" w:sz="8" w:space="0" w:color="auto"/>
            </w:tcBorders>
            <w:shd w:val="clear" w:color="auto" w:fill="auto"/>
            <w:vAlign w:val="center"/>
          </w:tcPr>
          <w:p w14:paraId="7937FE0A" w14:textId="495D23AD"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Enceinte UV - PCR</w:t>
            </w:r>
          </w:p>
        </w:tc>
        <w:tc>
          <w:tcPr>
            <w:tcW w:w="897" w:type="dxa"/>
            <w:tcBorders>
              <w:top w:val="nil"/>
              <w:left w:val="nil"/>
              <w:bottom w:val="single" w:sz="8" w:space="0" w:color="auto"/>
              <w:right w:val="single" w:sz="8" w:space="0" w:color="auto"/>
            </w:tcBorders>
            <w:shd w:val="clear" w:color="auto" w:fill="auto"/>
            <w:vAlign w:val="center"/>
          </w:tcPr>
          <w:p w14:paraId="7419BA25" w14:textId="017B188D"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A0708AB" w14:textId="61855A15"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AE438E7" w14:textId="53DDCBFE"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67B2E9" w14:textId="7EE7AC7B"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68A7422A"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1A53C54"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B081519" w14:textId="152E6F9A"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6</w:t>
            </w:r>
          </w:p>
        </w:tc>
        <w:tc>
          <w:tcPr>
            <w:tcW w:w="2080" w:type="dxa"/>
            <w:tcBorders>
              <w:top w:val="nil"/>
              <w:left w:val="single" w:sz="4" w:space="0" w:color="auto"/>
              <w:bottom w:val="single" w:sz="8" w:space="0" w:color="auto"/>
              <w:right w:val="single" w:sz="8" w:space="0" w:color="auto"/>
            </w:tcBorders>
            <w:shd w:val="clear" w:color="auto" w:fill="auto"/>
            <w:vAlign w:val="center"/>
          </w:tcPr>
          <w:p w14:paraId="501E047F" w14:textId="317C32EC" w:rsidR="00D44D96" w:rsidRPr="00210523" w:rsidRDefault="00D44D96" w:rsidP="003E6A96">
            <w:pPr>
              <w:rPr>
                <w:rFonts w:ascii="Times New Roman" w:hAnsi="Times New Roman"/>
                <w:bCs/>
                <w:sz w:val="24"/>
                <w:szCs w:val="24"/>
                <w:lang w:val="fr-BE" w:eastAsia="fr-FR" w:bidi="fr-FR"/>
              </w:rPr>
            </w:pPr>
            <w:proofErr w:type="spellStart"/>
            <w:r w:rsidRPr="001C0167">
              <w:rPr>
                <w:rFonts w:ascii="Times New Roman" w:hAnsi="Times New Roman"/>
                <w:bCs/>
                <w:sz w:val="22"/>
                <w:szCs w:val="22"/>
                <w:lang w:val="fr-BE"/>
              </w:rPr>
              <w:t>Microcentrifugeuse</w:t>
            </w:r>
            <w:proofErr w:type="spellEnd"/>
          </w:p>
        </w:tc>
        <w:tc>
          <w:tcPr>
            <w:tcW w:w="897" w:type="dxa"/>
            <w:tcBorders>
              <w:top w:val="nil"/>
              <w:left w:val="nil"/>
              <w:bottom w:val="single" w:sz="8" w:space="0" w:color="auto"/>
              <w:right w:val="single" w:sz="8" w:space="0" w:color="auto"/>
            </w:tcBorders>
            <w:shd w:val="clear" w:color="auto" w:fill="auto"/>
            <w:vAlign w:val="center"/>
          </w:tcPr>
          <w:p w14:paraId="2A9F609E" w14:textId="6A699B3B"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F4A5721" w14:textId="0A1A0D0D"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1FD5CA4" w14:textId="24736EC9"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FD7B647" w14:textId="7B6DDE4C"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6E9FA670"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F19C979"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5B52EDFD" w14:textId="04BA689F"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7</w:t>
            </w:r>
          </w:p>
        </w:tc>
        <w:tc>
          <w:tcPr>
            <w:tcW w:w="2080" w:type="dxa"/>
            <w:tcBorders>
              <w:top w:val="nil"/>
              <w:left w:val="single" w:sz="4" w:space="0" w:color="auto"/>
              <w:bottom w:val="single" w:sz="8" w:space="0" w:color="auto"/>
              <w:right w:val="single" w:sz="8" w:space="0" w:color="auto"/>
            </w:tcBorders>
            <w:shd w:val="clear" w:color="auto" w:fill="auto"/>
            <w:vAlign w:val="center"/>
          </w:tcPr>
          <w:p w14:paraId="1780E43F" w14:textId="7E4C49EA"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Micropipettes monocanal - pour pointe de 1000 </w:t>
            </w:r>
          </w:p>
        </w:tc>
        <w:tc>
          <w:tcPr>
            <w:tcW w:w="897" w:type="dxa"/>
            <w:tcBorders>
              <w:top w:val="nil"/>
              <w:left w:val="nil"/>
              <w:bottom w:val="single" w:sz="8" w:space="0" w:color="auto"/>
              <w:right w:val="single" w:sz="8" w:space="0" w:color="auto"/>
            </w:tcBorders>
            <w:shd w:val="clear" w:color="auto" w:fill="auto"/>
            <w:vAlign w:val="center"/>
          </w:tcPr>
          <w:p w14:paraId="46C0F67D" w14:textId="7075279C"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BCFCB0" w14:textId="45F885C5"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436DFA1" w14:textId="4B870987"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82DE859" w14:textId="16854A86"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06A6D1CB"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1E51A35"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D2B0C2B" w14:textId="4FBC9203"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8</w:t>
            </w:r>
          </w:p>
        </w:tc>
        <w:tc>
          <w:tcPr>
            <w:tcW w:w="2080" w:type="dxa"/>
            <w:tcBorders>
              <w:top w:val="nil"/>
              <w:left w:val="single" w:sz="4" w:space="0" w:color="auto"/>
              <w:bottom w:val="single" w:sz="8" w:space="0" w:color="auto"/>
              <w:right w:val="single" w:sz="8" w:space="0" w:color="auto"/>
            </w:tcBorders>
            <w:shd w:val="clear" w:color="auto" w:fill="auto"/>
            <w:vAlign w:val="center"/>
          </w:tcPr>
          <w:p w14:paraId="177E87D8" w14:textId="103A6E9C"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Micropipettes monocanal - pour pointe de 200</w:t>
            </w:r>
          </w:p>
        </w:tc>
        <w:tc>
          <w:tcPr>
            <w:tcW w:w="897" w:type="dxa"/>
            <w:tcBorders>
              <w:top w:val="nil"/>
              <w:left w:val="nil"/>
              <w:bottom w:val="single" w:sz="8" w:space="0" w:color="auto"/>
              <w:right w:val="single" w:sz="8" w:space="0" w:color="auto"/>
            </w:tcBorders>
            <w:shd w:val="clear" w:color="auto" w:fill="auto"/>
            <w:vAlign w:val="center"/>
          </w:tcPr>
          <w:p w14:paraId="6C2E221D" w14:textId="597D76AB"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DF98AA" w14:textId="40B4AE82"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CF07B69" w14:textId="231F2DBC"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BB5A31" w14:textId="7E2A5372"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FCE3DE4"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081B012"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A4C59C3" w14:textId="2CB21144"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9</w:t>
            </w:r>
          </w:p>
        </w:tc>
        <w:tc>
          <w:tcPr>
            <w:tcW w:w="2080" w:type="dxa"/>
            <w:tcBorders>
              <w:top w:val="nil"/>
              <w:left w:val="single" w:sz="4" w:space="0" w:color="auto"/>
              <w:bottom w:val="single" w:sz="8" w:space="0" w:color="auto"/>
              <w:right w:val="single" w:sz="8" w:space="0" w:color="auto"/>
            </w:tcBorders>
            <w:shd w:val="clear" w:color="auto" w:fill="auto"/>
            <w:vAlign w:val="center"/>
          </w:tcPr>
          <w:p w14:paraId="4E1C62A8" w14:textId="464D3931"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Micropipettes monocanal - pour pointe de 20</w:t>
            </w:r>
          </w:p>
        </w:tc>
        <w:tc>
          <w:tcPr>
            <w:tcW w:w="897" w:type="dxa"/>
            <w:tcBorders>
              <w:top w:val="nil"/>
              <w:left w:val="nil"/>
              <w:bottom w:val="single" w:sz="8" w:space="0" w:color="auto"/>
              <w:right w:val="single" w:sz="8" w:space="0" w:color="auto"/>
            </w:tcBorders>
            <w:shd w:val="clear" w:color="auto" w:fill="auto"/>
            <w:vAlign w:val="center"/>
          </w:tcPr>
          <w:p w14:paraId="3201B88C" w14:textId="3D3E66A6"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11B3D2" w14:textId="2CD6C34A"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D2C346A" w14:textId="248A8F90"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E39808" w14:textId="72B24F64"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5A1208FF"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6291ED6"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4290A466" w14:textId="1B97DE53"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10</w:t>
            </w:r>
          </w:p>
        </w:tc>
        <w:tc>
          <w:tcPr>
            <w:tcW w:w="2080" w:type="dxa"/>
            <w:tcBorders>
              <w:top w:val="nil"/>
              <w:left w:val="single" w:sz="4" w:space="0" w:color="auto"/>
              <w:bottom w:val="single" w:sz="8" w:space="0" w:color="auto"/>
              <w:right w:val="single" w:sz="8" w:space="0" w:color="auto"/>
            </w:tcBorders>
            <w:shd w:val="clear" w:color="auto" w:fill="auto"/>
            <w:vAlign w:val="center"/>
          </w:tcPr>
          <w:p w14:paraId="41FFC0C9" w14:textId="74E0D116"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Micropipettes monocanal - pour pointe de 10</w:t>
            </w:r>
          </w:p>
        </w:tc>
        <w:tc>
          <w:tcPr>
            <w:tcW w:w="897" w:type="dxa"/>
            <w:tcBorders>
              <w:top w:val="nil"/>
              <w:left w:val="nil"/>
              <w:bottom w:val="single" w:sz="8" w:space="0" w:color="auto"/>
              <w:right w:val="single" w:sz="8" w:space="0" w:color="auto"/>
            </w:tcBorders>
            <w:shd w:val="clear" w:color="auto" w:fill="auto"/>
            <w:vAlign w:val="center"/>
          </w:tcPr>
          <w:p w14:paraId="0B93AFCC" w14:textId="1DF4B0B2"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BCBD13E" w14:textId="496A9604"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52710D7" w14:textId="3D85977C"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6BDCF5D" w14:textId="4911392D"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7ED31477"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00F0030B"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2B17FC3" w14:textId="1D33CDC7"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11</w:t>
            </w:r>
          </w:p>
        </w:tc>
        <w:tc>
          <w:tcPr>
            <w:tcW w:w="2080" w:type="dxa"/>
            <w:tcBorders>
              <w:top w:val="nil"/>
              <w:left w:val="single" w:sz="4" w:space="0" w:color="auto"/>
              <w:bottom w:val="single" w:sz="8" w:space="0" w:color="auto"/>
              <w:right w:val="single" w:sz="8" w:space="0" w:color="auto"/>
            </w:tcBorders>
            <w:shd w:val="clear" w:color="auto" w:fill="auto"/>
            <w:vAlign w:val="center"/>
          </w:tcPr>
          <w:p w14:paraId="3E7F093F" w14:textId="676A164B"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Cuves d‘électrophorèse horizontales</w:t>
            </w:r>
          </w:p>
        </w:tc>
        <w:tc>
          <w:tcPr>
            <w:tcW w:w="897" w:type="dxa"/>
            <w:tcBorders>
              <w:top w:val="nil"/>
              <w:left w:val="nil"/>
              <w:bottom w:val="single" w:sz="8" w:space="0" w:color="auto"/>
              <w:right w:val="single" w:sz="8" w:space="0" w:color="auto"/>
            </w:tcBorders>
            <w:shd w:val="clear" w:color="auto" w:fill="auto"/>
            <w:vAlign w:val="center"/>
          </w:tcPr>
          <w:p w14:paraId="2A929E13" w14:textId="4F2B4D97"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C71B83" w14:textId="34CB57FA"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2775DE9" w14:textId="77FAE97C"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5A8E02" w14:textId="6FDC27D0"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7784ACA3"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02C51072"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5D149897" w14:textId="6BE634A1"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12</w:t>
            </w:r>
          </w:p>
        </w:tc>
        <w:tc>
          <w:tcPr>
            <w:tcW w:w="2080" w:type="dxa"/>
            <w:tcBorders>
              <w:top w:val="nil"/>
              <w:left w:val="single" w:sz="4" w:space="0" w:color="auto"/>
              <w:bottom w:val="single" w:sz="8" w:space="0" w:color="auto"/>
              <w:right w:val="single" w:sz="8" w:space="0" w:color="auto"/>
            </w:tcBorders>
            <w:shd w:val="clear" w:color="auto" w:fill="auto"/>
            <w:vAlign w:val="center"/>
          </w:tcPr>
          <w:p w14:paraId="7A2EB504" w14:textId="797DE837"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Générateur de courant pour Electrophorèse  </w:t>
            </w:r>
          </w:p>
        </w:tc>
        <w:tc>
          <w:tcPr>
            <w:tcW w:w="897" w:type="dxa"/>
            <w:tcBorders>
              <w:top w:val="nil"/>
              <w:left w:val="nil"/>
              <w:bottom w:val="single" w:sz="8" w:space="0" w:color="auto"/>
              <w:right w:val="single" w:sz="8" w:space="0" w:color="auto"/>
            </w:tcBorders>
            <w:shd w:val="clear" w:color="auto" w:fill="auto"/>
            <w:vAlign w:val="center"/>
          </w:tcPr>
          <w:p w14:paraId="6CE35B54" w14:textId="4B4C8B26"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338F89" w14:textId="6BF05ACF"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A167BDE" w14:textId="7ED8A7F6"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9AF294" w14:textId="58B096CE"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1CB02FC6"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7DFCF31"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01C6CE2" w14:textId="6E427D30"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13</w:t>
            </w:r>
          </w:p>
        </w:tc>
        <w:tc>
          <w:tcPr>
            <w:tcW w:w="2080" w:type="dxa"/>
            <w:tcBorders>
              <w:top w:val="nil"/>
              <w:left w:val="single" w:sz="4" w:space="0" w:color="auto"/>
              <w:bottom w:val="single" w:sz="8" w:space="0" w:color="auto"/>
              <w:right w:val="single" w:sz="8" w:space="0" w:color="auto"/>
            </w:tcBorders>
            <w:shd w:val="clear" w:color="auto" w:fill="auto"/>
            <w:vAlign w:val="center"/>
          </w:tcPr>
          <w:p w14:paraId="7D89EB05" w14:textId="07C99A58"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Barreaux d’agitation magnétiques</w:t>
            </w:r>
          </w:p>
        </w:tc>
        <w:tc>
          <w:tcPr>
            <w:tcW w:w="897" w:type="dxa"/>
            <w:tcBorders>
              <w:top w:val="nil"/>
              <w:left w:val="nil"/>
              <w:bottom w:val="single" w:sz="8" w:space="0" w:color="auto"/>
              <w:right w:val="single" w:sz="8" w:space="0" w:color="auto"/>
            </w:tcBorders>
            <w:shd w:val="clear" w:color="auto" w:fill="auto"/>
            <w:vAlign w:val="center"/>
          </w:tcPr>
          <w:p w14:paraId="2F0A259D" w14:textId="5282FCDB"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51C92F" w14:textId="6B3C7CCF"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39FDF0C" w14:textId="6477089A"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3CBA70" w14:textId="4591E6DE"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7C16FC5"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E25703C"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D4F7533" w14:textId="5C32D7D7"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14</w:t>
            </w:r>
          </w:p>
        </w:tc>
        <w:tc>
          <w:tcPr>
            <w:tcW w:w="2080" w:type="dxa"/>
            <w:tcBorders>
              <w:top w:val="nil"/>
              <w:left w:val="single" w:sz="4" w:space="0" w:color="auto"/>
              <w:bottom w:val="single" w:sz="8" w:space="0" w:color="auto"/>
              <w:right w:val="single" w:sz="8" w:space="0" w:color="auto"/>
            </w:tcBorders>
            <w:shd w:val="clear" w:color="auto" w:fill="auto"/>
            <w:vAlign w:val="center"/>
          </w:tcPr>
          <w:p w14:paraId="1C5029B4" w14:textId="258F43F3"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Portoir pour micropipettes</w:t>
            </w:r>
          </w:p>
        </w:tc>
        <w:tc>
          <w:tcPr>
            <w:tcW w:w="897" w:type="dxa"/>
            <w:tcBorders>
              <w:top w:val="nil"/>
              <w:left w:val="nil"/>
              <w:bottom w:val="single" w:sz="8" w:space="0" w:color="auto"/>
              <w:right w:val="single" w:sz="8" w:space="0" w:color="auto"/>
            </w:tcBorders>
            <w:shd w:val="clear" w:color="auto" w:fill="auto"/>
            <w:vAlign w:val="center"/>
          </w:tcPr>
          <w:p w14:paraId="4A5CA1C0" w14:textId="062B456A"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B627E7" w14:textId="51081BCD"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D25AB01" w14:textId="44D81BC3"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1DEFEB" w14:textId="31ADDEC2"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03158F39"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2E9A78A"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8CD4435" w14:textId="042E89E3"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15</w:t>
            </w:r>
          </w:p>
        </w:tc>
        <w:tc>
          <w:tcPr>
            <w:tcW w:w="2080" w:type="dxa"/>
            <w:tcBorders>
              <w:top w:val="nil"/>
              <w:left w:val="single" w:sz="4" w:space="0" w:color="auto"/>
              <w:bottom w:val="single" w:sz="8" w:space="0" w:color="auto"/>
              <w:right w:val="single" w:sz="8" w:space="0" w:color="auto"/>
            </w:tcBorders>
            <w:shd w:val="clear" w:color="auto" w:fill="auto"/>
            <w:vAlign w:val="center"/>
          </w:tcPr>
          <w:p w14:paraId="15BE6E63" w14:textId="086C7D52"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Congélateur vertical</w:t>
            </w:r>
            <w:r w:rsidRPr="001C0167">
              <w:rPr>
                <w:rFonts w:ascii="Times New Roman" w:hAnsi="Times New Roman"/>
                <w:sz w:val="22"/>
                <w:szCs w:val="22"/>
                <w:lang w:val="fr-BE"/>
              </w:rPr>
              <w:t xml:space="preserve"> </w:t>
            </w:r>
          </w:p>
        </w:tc>
        <w:tc>
          <w:tcPr>
            <w:tcW w:w="897" w:type="dxa"/>
            <w:tcBorders>
              <w:top w:val="nil"/>
              <w:left w:val="nil"/>
              <w:bottom w:val="single" w:sz="8" w:space="0" w:color="auto"/>
              <w:right w:val="single" w:sz="8" w:space="0" w:color="auto"/>
            </w:tcBorders>
            <w:shd w:val="clear" w:color="auto" w:fill="auto"/>
            <w:vAlign w:val="center"/>
          </w:tcPr>
          <w:p w14:paraId="459D8A3B" w14:textId="45129D8B"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CCD119" w14:textId="15DD3063"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77E99DB" w14:textId="311012C2"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EE11E01" w14:textId="50AC5C3D"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6D1C1D71"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1B507BC"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58F67DBA" w14:textId="45105A93"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16</w:t>
            </w:r>
          </w:p>
        </w:tc>
        <w:tc>
          <w:tcPr>
            <w:tcW w:w="2080" w:type="dxa"/>
            <w:tcBorders>
              <w:top w:val="nil"/>
              <w:left w:val="single" w:sz="4" w:space="0" w:color="auto"/>
              <w:bottom w:val="single" w:sz="8" w:space="0" w:color="auto"/>
              <w:right w:val="single" w:sz="8" w:space="0" w:color="auto"/>
            </w:tcBorders>
            <w:shd w:val="clear" w:color="auto" w:fill="auto"/>
            <w:vAlign w:val="center"/>
          </w:tcPr>
          <w:p w14:paraId="03423EE3" w14:textId="1F6FA48D"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Réfrigérateur</w:t>
            </w:r>
          </w:p>
        </w:tc>
        <w:tc>
          <w:tcPr>
            <w:tcW w:w="897" w:type="dxa"/>
            <w:tcBorders>
              <w:top w:val="nil"/>
              <w:left w:val="nil"/>
              <w:bottom w:val="single" w:sz="8" w:space="0" w:color="auto"/>
              <w:right w:val="single" w:sz="8" w:space="0" w:color="auto"/>
            </w:tcBorders>
            <w:shd w:val="clear" w:color="auto" w:fill="auto"/>
            <w:vAlign w:val="center"/>
          </w:tcPr>
          <w:p w14:paraId="1F7336AD" w14:textId="7632B383"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20544C6" w14:textId="2E04CE54"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F2C13B5" w14:textId="744E4D85"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8FCCDF0" w14:textId="7B00CCB1"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54B2EC0E"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AA25C14"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1B357FC" w14:textId="19088553"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17</w:t>
            </w:r>
          </w:p>
        </w:tc>
        <w:tc>
          <w:tcPr>
            <w:tcW w:w="2080" w:type="dxa"/>
            <w:tcBorders>
              <w:top w:val="nil"/>
              <w:left w:val="single" w:sz="4" w:space="0" w:color="auto"/>
              <w:bottom w:val="single" w:sz="8" w:space="0" w:color="auto"/>
              <w:right w:val="single" w:sz="8" w:space="0" w:color="auto"/>
            </w:tcBorders>
            <w:shd w:val="clear" w:color="auto" w:fill="auto"/>
            <w:vAlign w:val="center"/>
          </w:tcPr>
          <w:p w14:paraId="08434DE5" w14:textId="3F7E597D"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Flacons ronds avec bouchon Volume : 500 ml</w:t>
            </w:r>
          </w:p>
        </w:tc>
        <w:tc>
          <w:tcPr>
            <w:tcW w:w="897" w:type="dxa"/>
            <w:tcBorders>
              <w:top w:val="nil"/>
              <w:left w:val="nil"/>
              <w:bottom w:val="single" w:sz="8" w:space="0" w:color="auto"/>
              <w:right w:val="single" w:sz="8" w:space="0" w:color="auto"/>
            </w:tcBorders>
            <w:shd w:val="clear" w:color="auto" w:fill="auto"/>
            <w:vAlign w:val="center"/>
          </w:tcPr>
          <w:p w14:paraId="190FFAAC" w14:textId="121D9683"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5105FF8" w14:textId="7CC48571"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03E6B83" w14:textId="333D5064"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5AF3FD4" w14:textId="5241CA5E"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D1DABC5"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F16B7C4"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5594BC82" w14:textId="5C59EAA6"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18</w:t>
            </w:r>
          </w:p>
        </w:tc>
        <w:tc>
          <w:tcPr>
            <w:tcW w:w="2080" w:type="dxa"/>
            <w:tcBorders>
              <w:top w:val="nil"/>
              <w:left w:val="single" w:sz="4" w:space="0" w:color="auto"/>
              <w:bottom w:val="single" w:sz="8" w:space="0" w:color="auto"/>
              <w:right w:val="single" w:sz="8" w:space="0" w:color="auto"/>
            </w:tcBorders>
            <w:shd w:val="clear" w:color="auto" w:fill="auto"/>
            <w:vAlign w:val="center"/>
          </w:tcPr>
          <w:p w14:paraId="4610AD0E" w14:textId="088C2B54"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Flacons ronds avec bouchon Volume : 250 ml</w:t>
            </w:r>
          </w:p>
        </w:tc>
        <w:tc>
          <w:tcPr>
            <w:tcW w:w="897" w:type="dxa"/>
            <w:tcBorders>
              <w:top w:val="nil"/>
              <w:left w:val="nil"/>
              <w:bottom w:val="single" w:sz="8" w:space="0" w:color="auto"/>
              <w:right w:val="single" w:sz="8" w:space="0" w:color="auto"/>
            </w:tcBorders>
            <w:shd w:val="clear" w:color="auto" w:fill="auto"/>
            <w:vAlign w:val="center"/>
          </w:tcPr>
          <w:p w14:paraId="08CBC629" w14:textId="1423E50D"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C7DBEBB" w14:textId="64CA274A"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F0AC960" w14:textId="53898E33"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DC3F9D" w14:textId="5F211736"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7E2C11A9"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6537650"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AEEBB6C" w14:textId="0E360CAA"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19</w:t>
            </w:r>
          </w:p>
        </w:tc>
        <w:tc>
          <w:tcPr>
            <w:tcW w:w="2080" w:type="dxa"/>
            <w:tcBorders>
              <w:top w:val="nil"/>
              <w:left w:val="single" w:sz="4" w:space="0" w:color="auto"/>
              <w:bottom w:val="single" w:sz="8" w:space="0" w:color="auto"/>
              <w:right w:val="single" w:sz="8" w:space="0" w:color="auto"/>
            </w:tcBorders>
            <w:shd w:val="clear" w:color="auto" w:fill="auto"/>
            <w:vAlign w:val="center"/>
          </w:tcPr>
          <w:p w14:paraId="2398E857" w14:textId="4A9096DF"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Éprouvettes graduées - En verre borosilicaté, forme basse, classe B volume : 100 ml</w:t>
            </w:r>
          </w:p>
        </w:tc>
        <w:tc>
          <w:tcPr>
            <w:tcW w:w="897" w:type="dxa"/>
            <w:tcBorders>
              <w:top w:val="nil"/>
              <w:left w:val="nil"/>
              <w:bottom w:val="single" w:sz="8" w:space="0" w:color="auto"/>
              <w:right w:val="single" w:sz="8" w:space="0" w:color="auto"/>
            </w:tcBorders>
            <w:shd w:val="clear" w:color="auto" w:fill="auto"/>
            <w:vAlign w:val="center"/>
          </w:tcPr>
          <w:p w14:paraId="3C161DBC" w14:textId="4016E5CF"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77F7DC1" w14:textId="269D5AB5"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1082164" w14:textId="596CA886"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FF5CFB9" w14:textId="3889F924"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5CCF140"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BAE8A1C"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1F54EFA" w14:textId="27F8C86F"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20</w:t>
            </w:r>
          </w:p>
        </w:tc>
        <w:tc>
          <w:tcPr>
            <w:tcW w:w="2080" w:type="dxa"/>
            <w:tcBorders>
              <w:top w:val="nil"/>
              <w:left w:val="single" w:sz="4" w:space="0" w:color="auto"/>
              <w:bottom w:val="single" w:sz="8" w:space="0" w:color="auto"/>
              <w:right w:val="single" w:sz="8" w:space="0" w:color="auto"/>
            </w:tcBorders>
            <w:shd w:val="clear" w:color="auto" w:fill="auto"/>
            <w:vAlign w:val="center"/>
          </w:tcPr>
          <w:p w14:paraId="6AE3C1EE" w14:textId="0E2E1D33"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Éprouvettes graduées - En verre borosilicaté, forme basse, classe B Capacité 2</w:t>
            </w:r>
            <w:r>
              <w:rPr>
                <w:rFonts w:ascii="Times New Roman" w:hAnsi="Times New Roman"/>
                <w:bCs/>
                <w:sz w:val="22"/>
                <w:szCs w:val="22"/>
                <w:lang w:val="fr-BE"/>
              </w:rPr>
              <w:t xml:space="preserve"> </w:t>
            </w:r>
            <w:r w:rsidRPr="001C0167">
              <w:rPr>
                <w:rFonts w:ascii="Times New Roman" w:hAnsi="Times New Roman"/>
                <w:bCs/>
                <w:sz w:val="22"/>
                <w:szCs w:val="22"/>
                <w:lang w:val="fr-BE"/>
              </w:rPr>
              <w:t>l</w:t>
            </w:r>
          </w:p>
        </w:tc>
        <w:tc>
          <w:tcPr>
            <w:tcW w:w="897" w:type="dxa"/>
            <w:tcBorders>
              <w:top w:val="nil"/>
              <w:left w:val="nil"/>
              <w:bottom w:val="single" w:sz="8" w:space="0" w:color="auto"/>
              <w:right w:val="single" w:sz="8" w:space="0" w:color="auto"/>
            </w:tcBorders>
            <w:shd w:val="clear" w:color="auto" w:fill="auto"/>
            <w:vAlign w:val="center"/>
          </w:tcPr>
          <w:p w14:paraId="3E93C411" w14:textId="497B17FB"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5D59CB6" w14:textId="2DEFB26D"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EE9D878" w14:textId="2F02C679"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C225214" w14:textId="1884EB4C"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462F8310"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24FE357"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DD15833" w14:textId="1A22DCF6"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21</w:t>
            </w:r>
          </w:p>
        </w:tc>
        <w:tc>
          <w:tcPr>
            <w:tcW w:w="2080" w:type="dxa"/>
            <w:tcBorders>
              <w:top w:val="nil"/>
              <w:left w:val="single" w:sz="4" w:space="0" w:color="auto"/>
              <w:bottom w:val="single" w:sz="8" w:space="0" w:color="auto"/>
              <w:right w:val="single" w:sz="8" w:space="0" w:color="auto"/>
            </w:tcBorders>
            <w:shd w:val="clear" w:color="auto" w:fill="auto"/>
            <w:vAlign w:val="center"/>
          </w:tcPr>
          <w:p w14:paraId="33315CF7" w14:textId="46837C05"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Éprouvettes graduées - En verre borosilicaté, forme basse, classe B Capacité 1</w:t>
            </w:r>
            <w:r>
              <w:rPr>
                <w:rFonts w:ascii="Times New Roman" w:hAnsi="Times New Roman"/>
                <w:bCs/>
                <w:sz w:val="22"/>
                <w:szCs w:val="22"/>
                <w:lang w:val="fr-BE"/>
              </w:rPr>
              <w:t xml:space="preserve"> </w:t>
            </w:r>
            <w:r w:rsidRPr="001C0167">
              <w:rPr>
                <w:rFonts w:ascii="Times New Roman" w:hAnsi="Times New Roman"/>
                <w:bCs/>
                <w:sz w:val="22"/>
                <w:szCs w:val="22"/>
                <w:lang w:val="fr-BE"/>
              </w:rPr>
              <w:t>l</w:t>
            </w:r>
          </w:p>
        </w:tc>
        <w:tc>
          <w:tcPr>
            <w:tcW w:w="897" w:type="dxa"/>
            <w:tcBorders>
              <w:top w:val="nil"/>
              <w:left w:val="nil"/>
              <w:bottom w:val="single" w:sz="8" w:space="0" w:color="auto"/>
              <w:right w:val="single" w:sz="8" w:space="0" w:color="auto"/>
            </w:tcBorders>
            <w:shd w:val="clear" w:color="auto" w:fill="auto"/>
            <w:vAlign w:val="center"/>
          </w:tcPr>
          <w:p w14:paraId="07C851AA" w14:textId="1253D399"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F1A9BF" w14:textId="3EA9B48F"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409C6B4" w14:textId="3F7FFFDC"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6189159" w14:textId="2C8770A4"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4B4D9804"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7C3E830"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1AF3814" w14:textId="3D399D90"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22</w:t>
            </w:r>
          </w:p>
        </w:tc>
        <w:tc>
          <w:tcPr>
            <w:tcW w:w="2080" w:type="dxa"/>
            <w:tcBorders>
              <w:top w:val="nil"/>
              <w:left w:val="single" w:sz="4" w:space="0" w:color="auto"/>
              <w:bottom w:val="single" w:sz="8" w:space="0" w:color="auto"/>
              <w:right w:val="single" w:sz="8" w:space="0" w:color="auto"/>
            </w:tcBorders>
            <w:shd w:val="clear" w:color="auto" w:fill="auto"/>
            <w:vAlign w:val="center"/>
          </w:tcPr>
          <w:p w14:paraId="5A072B69" w14:textId="665E7DAB"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Éprouvettes graduées - En verre </w:t>
            </w:r>
            <w:r w:rsidRPr="001C0167">
              <w:rPr>
                <w:rFonts w:ascii="Times New Roman" w:hAnsi="Times New Roman"/>
                <w:bCs/>
                <w:sz w:val="22"/>
                <w:szCs w:val="22"/>
                <w:lang w:val="fr-BE"/>
              </w:rPr>
              <w:lastRenderedPageBreak/>
              <w:t>borosilicaté, forme basse, classe B Capacité 500</w:t>
            </w:r>
            <w:r>
              <w:rPr>
                <w:rFonts w:ascii="Times New Roman" w:hAnsi="Times New Roman"/>
                <w:bCs/>
                <w:sz w:val="22"/>
                <w:szCs w:val="22"/>
                <w:lang w:val="fr-BE"/>
              </w:rPr>
              <w:t xml:space="preserve"> </w:t>
            </w:r>
            <w:r w:rsidRPr="001C0167">
              <w:rPr>
                <w:rFonts w:ascii="Times New Roman" w:hAnsi="Times New Roman"/>
                <w:bCs/>
                <w:sz w:val="22"/>
                <w:szCs w:val="22"/>
                <w:lang w:val="fr-BE"/>
              </w:rPr>
              <w:t>ml</w:t>
            </w:r>
          </w:p>
        </w:tc>
        <w:tc>
          <w:tcPr>
            <w:tcW w:w="897" w:type="dxa"/>
            <w:tcBorders>
              <w:top w:val="nil"/>
              <w:left w:val="nil"/>
              <w:bottom w:val="single" w:sz="8" w:space="0" w:color="auto"/>
              <w:right w:val="single" w:sz="8" w:space="0" w:color="auto"/>
            </w:tcBorders>
            <w:shd w:val="clear" w:color="auto" w:fill="auto"/>
            <w:vAlign w:val="center"/>
          </w:tcPr>
          <w:p w14:paraId="6019344F" w14:textId="34E95F23"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lastRenderedPageBreak/>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F89A62" w14:textId="2453ED1B"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94779B7" w14:textId="08BF70FF"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61552B2" w14:textId="335EA042"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039FEF83"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2E1702B"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D98E489" w14:textId="5207F996"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23</w:t>
            </w:r>
          </w:p>
        </w:tc>
        <w:tc>
          <w:tcPr>
            <w:tcW w:w="2080" w:type="dxa"/>
            <w:tcBorders>
              <w:top w:val="nil"/>
              <w:left w:val="single" w:sz="4" w:space="0" w:color="auto"/>
              <w:bottom w:val="single" w:sz="8" w:space="0" w:color="auto"/>
              <w:right w:val="single" w:sz="8" w:space="0" w:color="auto"/>
            </w:tcBorders>
            <w:shd w:val="clear" w:color="auto" w:fill="auto"/>
            <w:vAlign w:val="center"/>
          </w:tcPr>
          <w:p w14:paraId="3D84171D" w14:textId="16FEE1FC"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Éprouvettes graduées - En verre borosilicaté, forme basse, classe B Capacité 250</w:t>
            </w:r>
            <w:r>
              <w:rPr>
                <w:rFonts w:ascii="Times New Roman" w:hAnsi="Times New Roman"/>
                <w:bCs/>
                <w:sz w:val="22"/>
                <w:szCs w:val="22"/>
                <w:lang w:val="fr-BE"/>
              </w:rPr>
              <w:t xml:space="preserve"> </w:t>
            </w:r>
            <w:r w:rsidRPr="001C0167">
              <w:rPr>
                <w:rFonts w:ascii="Times New Roman" w:hAnsi="Times New Roman"/>
                <w:bCs/>
                <w:sz w:val="22"/>
                <w:szCs w:val="22"/>
                <w:lang w:val="fr-BE"/>
              </w:rPr>
              <w:t>ml</w:t>
            </w:r>
          </w:p>
        </w:tc>
        <w:tc>
          <w:tcPr>
            <w:tcW w:w="897" w:type="dxa"/>
            <w:tcBorders>
              <w:top w:val="nil"/>
              <w:left w:val="nil"/>
              <w:bottom w:val="single" w:sz="8" w:space="0" w:color="auto"/>
              <w:right w:val="single" w:sz="8" w:space="0" w:color="auto"/>
            </w:tcBorders>
            <w:shd w:val="clear" w:color="auto" w:fill="auto"/>
            <w:vAlign w:val="center"/>
          </w:tcPr>
          <w:p w14:paraId="0F7787FC" w14:textId="77F39149"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A876DB" w14:textId="603E6767"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4E4A520" w14:textId="6213E1AD"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29F6FF4" w14:textId="2FC596CB"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732F3279"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9B41BB4"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D979B2F" w14:textId="4B304901"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24</w:t>
            </w:r>
          </w:p>
        </w:tc>
        <w:tc>
          <w:tcPr>
            <w:tcW w:w="2080" w:type="dxa"/>
            <w:tcBorders>
              <w:top w:val="nil"/>
              <w:left w:val="single" w:sz="4" w:space="0" w:color="auto"/>
              <w:bottom w:val="single" w:sz="8" w:space="0" w:color="auto"/>
              <w:right w:val="single" w:sz="8" w:space="0" w:color="auto"/>
            </w:tcBorders>
            <w:shd w:val="clear" w:color="auto" w:fill="auto"/>
            <w:vAlign w:val="center"/>
          </w:tcPr>
          <w:p w14:paraId="3C294F43" w14:textId="166D77A5"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Éprouvettes graduées - En verre borosilicaté, forme basse, classe B Capacité 100</w:t>
            </w:r>
            <w:r>
              <w:rPr>
                <w:rFonts w:ascii="Times New Roman" w:hAnsi="Times New Roman"/>
                <w:bCs/>
                <w:sz w:val="22"/>
                <w:szCs w:val="22"/>
                <w:lang w:val="fr-BE"/>
              </w:rPr>
              <w:t xml:space="preserve"> </w:t>
            </w:r>
            <w:r w:rsidRPr="001C0167">
              <w:rPr>
                <w:rFonts w:ascii="Times New Roman" w:hAnsi="Times New Roman"/>
                <w:bCs/>
                <w:sz w:val="22"/>
                <w:szCs w:val="22"/>
                <w:lang w:val="fr-BE"/>
              </w:rPr>
              <w:t>ml</w:t>
            </w:r>
          </w:p>
        </w:tc>
        <w:tc>
          <w:tcPr>
            <w:tcW w:w="897" w:type="dxa"/>
            <w:tcBorders>
              <w:top w:val="nil"/>
              <w:left w:val="nil"/>
              <w:bottom w:val="single" w:sz="8" w:space="0" w:color="auto"/>
              <w:right w:val="single" w:sz="8" w:space="0" w:color="auto"/>
            </w:tcBorders>
            <w:shd w:val="clear" w:color="auto" w:fill="auto"/>
            <w:vAlign w:val="center"/>
          </w:tcPr>
          <w:p w14:paraId="17D29A7A" w14:textId="561999F9"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7D0BB2" w14:textId="2631FE33"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936692F" w14:textId="32955C2E"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76DE86C" w14:textId="26FE31BF"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3C77B06E"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4B03288"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68F7EDF" w14:textId="0093A4FA"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25</w:t>
            </w:r>
          </w:p>
        </w:tc>
        <w:tc>
          <w:tcPr>
            <w:tcW w:w="2080" w:type="dxa"/>
            <w:tcBorders>
              <w:top w:val="nil"/>
              <w:left w:val="single" w:sz="4" w:space="0" w:color="auto"/>
              <w:bottom w:val="single" w:sz="8" w:space="0" w:color="auto"/>
              <w:right w:val="single" w:sz="8" w:space="0" w:color="auto"/>
            </w:tcBorders>
            <w:shd w:val="clear" w:color="auto" w:fill="auto"/>
            <w:vAlign w:val="center"/>
          </w:tcPr>
          <w:p w14:paraId="6A030767" w14:textId="3B2CA87E"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Éprouvettes graduées - En verre borosilicaté, forme basse, classe B Capacité 10</w:t>
            </w:r>
            <w:r>
              <w:rPr>
                <w:rFonts w:ascii="Times New Roman" w:hAnsi="Times New Roman"/>
                <w:bCs/>
                <w:sz w:val="22"/>
                <w:szCs w:val="22"/>
                <w:lang w:val="fr-BE"/>
              </w:rPr>
              <w:t xml:space="preserve"> </w:t>
            </w:r>
            <w:r w:rsidRPr="001C0167">
              <w:rPr>
                <w:rFonts w:ascii="Times New Roman" w:hAnsi="Times New Roman"/>
                <w:bCs/>
                <w:sz w:val="22"/>
                <w:szCs w:val="22"/>
                <w:lang w:val="fr-BE"/>
              </w:rPr>
              <w:t>ml</w:t>
            </w:r>
          </w:p>
        </w:tc>
        <w:tc>
          <w:tcPr>
            <w:tcW w:w="897" w:type="dxa"/>
            <w:tcBorders>
              <w:top w:val="nil"/>
              <w:left w:val="nil"/>
              <w:bottom w:val="single" w:sz="8" w:space="0" w:color="auto"/>
              <w:right w:val="single" w:sz="8" w:space="0" w:color="auto"/>
            </w:tcBorders>
            <w:shd w:val="clear" w:color="auto" w:fill="auto"/>
            <w:vAlign w:val="center"/>
          </w:tcPr>
          <w:p w14:paraId="113FE4D2" w14:textId="2F34DA6C"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39FD11" w14:textId="514A822C"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AAE5888" w14:textId="7368C415"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872DB3" w14:textId="15374BD3"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E242B26"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56B844E6"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6381CB2" w14:textId="3B48C0EB"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26</w:t>
            </w:r>
          </w:p>
        </w:tc>
        <w:tc>
          <w:tcPr>
            <w:tcW w:w="2080" w:type="dxa"/>
            <w:tcBorders>
              <w:top w:val="nil"/>
              <w:left w:val="single" w:sz="4" w:space="0" w:color="auto"/>
              <w:bottom w:val="single" w:sz="8" w:space="0" w:color="auto"/>
              <w:right w:val="single" w:sz="8" w:space="0" w:color="auto"/>
            </w:tcBorders>
            <w:shd w:val="clear" w:color="auto" w:fill="auto"/>
            <w:vAlign w:val="center"/>
          </w:tcPr>
          <w:p w14:paraId="61B1BD24" w14:textId="711DBFD3"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Erlenmeyers à col large par rapport à la base, Capacité 1</w:t>
            </w:r>
            <w:r>
              <w:rPr>
                <w:rFonts w:ascii="Times New Roman" w:hAnsi="Times New Roman"/>
                <w:bCs/>
                <w:sz w:val="22"/>
                <w:szCs w:val="22"/>
                <w:lang w:val="fr-BE"/>
              </w:rPr>
              <w:t xml:space="preserve"> </w:t>
            </w:r>
            <w:r w:rsidRPr="001C0167">
              <w:rPr>
                <w:rFonts w:ascii="Times New Roman" w:hAnsi="Times New Roman"/>
                <w:bCs/>
                <w:sz w:val="22"/>
                <w:szCs w:val="22"/>
                <w:lang w:val="fr-BE"/>
              </w:rPr>
              <w:t>l</w:t>
            </w:r>
          </w:p>
        </w:tc>
        <w:tc>
          <w:tcPr>
            <w:tcW w:w="897" w:type="dxa"/>
            <w:tcBorders>
              <w:top w:val="nil"/>
              <w:left w:val="nil"/>
              <w:bottom w:val="single" w:sz="8" w:space="0" w:color="auto"/>
              <w:right w:val="single" w:sz="8" w:space="0" w:color="auto"/>
            </w:tcBorders>
            <w:shd w:val="clear" w:color="auto" w:fill="auto"/>
            <w:vAlign w:val="center"/>
          </w:tcPr>
          <w:p w14:paraId="7AB1FE3E" w14:textId="19AC2978"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9738D82" w14:textId="056495C7"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10866CF" w14:textId="7ED2A8A3"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5CB79D" w14:textId="729C8201"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1BE7AD53"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C981870"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1EE4D0A" w14:textId="1D54F44C"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27</w:t>
            </w:r>
          </w:p>
        </w:tc>
        <w:tc>
          <w:tcPr>
            <w:tcW w:w="2080" w:type="dxa"/>
            <w:tcBorders>
              <w:top w:val="nil"/>
              <w:left w:val="single" w:sz="4" w:space="0" w:color="auto"/>
              <w:bottom w:val="single" w:sz="8" w:space="0" w:color="auto"/>
              <w:right w:val="single" w:sz="8" w:space="0" w:color="auto"/>
            </w:tcBorders>
            <w:shd w:val="clear" w:color="auto" w:fill="auto"/>
            <w:vAlign w:val="center"/>
          </w:tcPr>
          <w:p w14:paraId="1E0E55FF" w14:textId="5F2CB7C9"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Erlenmeyers à col large par rapport à la base, Capacité 500</w:t>
            </w:r>
            <w:r>
              <w:rPr>
                <w:rFonts w:ascii="Times New Roman" w:hAnsi="Times New Roman"/>
                <w:bCs/>
                <w:sz w:val="22"/>
                <w:szCs w:val="22"/>
                <w:lang w:val="fr-BE"/>
              </w:rPr>
              <w:t xml:space="preserve"> </w:t>
            </w:r>
            <w:r w:rsidRPr="001C0167">
              <w:rPr>
                <w:rFonts w:ascii="Times New Roman" w:hAnsi="Times New Roman"/>
                <w:bCs/>
                <w:sz w:val="22"/>
                <w:szCs w:val="22"/>
                <w:lang w:val="fr-BE"/>
              </w:rPr>
              <w:t>ml</w:t>
            </w:r>
          </w:p>
        </w:tc>
        <w:tc>
          <w:tcPr>
            <w:tcW w:w="897" w:type="dxa"/>
            <w:tcBorders>
              <w:top w:val="nil"/>
              <w:left w:val="nil"/>
              <w:bottom w:val="single" w:sz="8" w:space="0" w:color="auto"/>
              <w:right w:val="single" w:sz="8" w:space="0" w:color="auto"/>
            </w:tcBorders>
            <w:shd w:val="clear" w:color="auto" w:fill="auto"/>
            <w:vAlign w:val="center"/>
          </w:tcPr>
          <w:p w14:paraId="2705D78D" w14:textId="7CBF97F6"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2B13BE" w14:textId="793445E3"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DA1197E" w14:textId="656A1A76"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5BDCD4" w14:textId="32860A98"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07BBA80A"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1F107B8"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6C1EB05" w14:textId="5193925B"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28</w:t>
            </w:r>
          </w:p>
        </w:tc>
        <w:tc>
          <w:tcPr>
            <w:tcW w:w="2080" w:type="dxa"/>
            <w:tcBorders>
              <w:top w:val="nil"/>
              <w:left w:val="single" w:sz="4" w:space="0" w:color="auto"/>
              <w:bottom w:val="single" w:sz="8" w:space="0" w:color="auto"/>
              <w:right w:val="single" w:sz="8" w:space="0" w:color="auto"/>
            </w:tcBorders>
            <w:shd w:val="clear" w:color="auto" w:fill="auto"/>
            <w:vAlign w:val="center"/>
          </w:tcPr>
          <w:p w14:paraId="4861FC1A" w14:textId="25627BF6"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Erlenmeyers à col large par rapport à la base, Capacité 250</w:t>
            </w:r>
            <w:r>
              <w:rPr>
                <w:rFonts w:ascii="Times New Roman" w:hAnsi="Times New Roman"/>
                <w:bCs/>
                <w:sz w:val="22"/>
                <w:szCs w:val="22"/>
                <w:lang w:val="fr-BE"/>
              </w:rPr>
              <w:t xml:space="preserve"> </w:t>
            </w:r>
            <w:r w:rsidRPr="001C0167">
              <w:rPr>
                <w:rFonts w:ascii="Times New Roman" w:hAnsi="Times New Roman"/>
                <w:bCs/>
                <w:sz w:val="22"/>
                <w:szCs w:val="22"/>
                <w:lang w:val="fr-BE"/>
              </w:rPr>
              <w:t>ml</w:t>
            </w:r>
          </w:p>
        </w:tc>
        <w:tc>
          <w:tcPr>
            <w:tcW w:w="897" w:type="dxa"/>
            <w:tcBorders>
              <w:top w:val="nil"/>
              <w:left w:val="nil"/>
              <w:bottom w:val="single" w:sz="8" w:space="0" w:color="auto"/>
              <w:right w:val="single" w:sz="8" w:space="0" w:color="auto"/>
            </w:tcBorders>
            <w:shd w:val="clear" w:color="auto" w:fill="auto"/>
            <w:vAlign w:val="center"/>
          </w:tcPr>
          <w:p w14:paraId="721150C0" w14:textId="5D35C17C"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D53D7C1" w14:textId="5B512802"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488C049" w14:textId="5378B6CF"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D457AB2" w14:textId="5909F41F"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7ADA3884"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52A34F7"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F3EBD72" w14:textId="4E3A4A1C"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29</w:t>
            </w:r>
          </w:p>
        </w:tc>
        <w:tc>
          <w:tcPr>
            <w:tcW w:w="2080" w:type="dxa"/>
            <w:tcBorders>
              <w:top w:val="nil"/>
              <w:left w:val="single" w:sz="4" w:space="0" w:color="auto"/>
              <w:bottom w:val="single" w:sz="8" w:space="0" w:color="auto"/>
              <w:right w:val="single" w:sz="8" w:space="0" w:color="auto"/>
            </w:tcBorders>
            <w:shd w:val="clear" w:color="auto" w:fill="auto"/>
            <w:vAlign w:val="center"/>
          </w:tcPr>
          <w:p w14:paraId="24F6B6D3" w14:textId="2D39E16D"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Microscope optique avec écran</w:t>
            </w:r>
          </w:p>
        </w:tc>
        <w:tc>
          <w:tcPr>
            <w:tcW w:w="897" w:type="dxa"/>
            <w:tcBorders>
              <w:top w:val="nil"/>
              <w:left w:val="nil"/>
              <w:bottom w:val="single" w:sz="8" w:space="0" w:color="auto"/>
              <w:right w:val="single" w:sz="8" w:space="0" w:color="auto"/>
            </w:tcBorders>
            <w:shd w:val="clear" w:color="auto" w:fill="auto"/>
            <w:vAlign w:val="center"/>
          </w:tcPr>
          <w:p w14:paraId="27D09299" w14:textId="724C9B78"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94B82D" w14:textId="6DE729B1"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F6A397D" w14:textId="583762BC"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92C5184" w14:textId="5FD3B4D1"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7692C29D"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008BEDB6"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32B0123" w14:textId="2089D07E"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30</w:t>
            </w:r>
          </w:p>
        </w:tc>
        <w:tc>
          <w:tcPr>
            <w:tcW w:w="2080" w:type="dxa"/>
            <w:tcBorders>
              <w:top w:val="nil"/>
              <w:left w:val="single" w:sz="4" w:space="0" w:color="auto"/>
              <w:bottom w:val="single" w:sz="8" w:space="0" w:color="auto"/>
              <w:right w:val="single" w:sz="8" w:space="0" w:color="auto"/>
            </w:tcBorders>
            <w:shd w:val="clear" w:color="auto" w:fill="auto"/>
            <w:vAlign w:val="center"/>
          </w:tcPr>
          <w:p w14:paraId="73D76106" w14:textId="62102699"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Microscope optique</w:t>
            </w:r>
          </w:p>
        </w:tc>
        <w:tc>
          <w:tcPr>
            <w:tcW w:w="897" w:type="dxa"/>
            <w:tcBorders>
              <w:top w:val="nil"/>
              <w:left w:val="nil"/>
              <w:bottom w:val="single" w:sz="8" w:space="0" w:color="auto"/>
              <w:right w:val="single" w:sz="8" w:space="0" w:color="auto"/>
            </w:tcBorders>
            <w:shd w:val="clear" w:color="auto" w:fill="auto"/>
            <w:vAlign w:val="center"/>
          </w:tcPr>
          <w:p w14:paraId="28B20932" w14:textId="7FF53A3C"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1179582" w14:textId="66291B65"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0CF8DF9" w14:textId="5D3E492D"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863299" w14:textId="398A2C3F"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788A331C"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740E849"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01C1E0D" w14:textId="20A59799"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31</w:t>
            </w:r>
          </w:p>
        </w:tc>
        <w:tc>
          <w:tcPr>
            <w:tcW w:w="2080" w:type="dxa"/>
            <w:tcBorders>
              <w:top w:val="nil"/>
              <w:left w:val="single" w:sz="4" w:space="0" w:color="auto"/>
              <w:bottom w:val="single" w:sz="8" w:space="0" w:color="auto"/>
              <w:right w:val="single" w:sz="8" w:space="0" w:color="auto"/>
            </w:tcBorders>
            <w:shd w:val="clear" w:color="auto" w:fill="auto"/>
            <w:vAlign w:val="center"/>
          </w:tcPr>
          <w:p w14:paraId="21B990FF" w14:textId="0BB57E29"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Étuves à convection naturelle</w:t>
            </w:r>
          </w:p>
        </w:tc>
        <w:tc>
          <w:tcPr>
            <w:tcW w:w="897" w:type="dxa"/>
            <w:tcBorders>
              <w:top w:val="nil"/>
              <w:left w:val="nil"/>
              <w:bottom w:val="single" w:sz="8" w:space="0" w:color="auto"/>
              <w:right w:val="single" w:sz="8" w:space="0" w:color="auto"/>
            </w:tcBorders>
            <w:shd w:val="clear" w:color="auto" w:fill="auto"/>
            <w:vAlign w:val="center"/>
          </w:tcPr>
          <w:p w14:paraId="66FC49EC" w14:textId="7DC80282"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ACC0EB" w14:textId="04D0521E"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971DD93" w14:textId="46EB0B96"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4E20F3" w14:textId="4228464B"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6D0F44F8"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8D7A5AA"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3FB6B90" w14:textId="4CB59980"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32</w:t>
            </w:r>
          </w:p>
        </w:tc>
        <w:tc>
          <w:tcPr>
            <w:tcW w:w="2080" w:type="dxa"/>
            <w:tcBorders>
              <w:top w:val="nil"/>
              <w:left w:val="single" w:sz="4" w:space="0" w:color="auto"/>
              <w:bottom w:val="single" w:sz="8" w:space="0" w:color="auto"/>
              <w:right w:val="single" w:sz="8" w:space="0" w:color="auto"/>
            </w:tcBorders>
            <w:shd w:val="clear" w:color="auto" w:fill="auto"/>
            <w:vAlign w:val="center"/>
          </w:tcPr>
          <w:p w14:paraId="4F5A3001" w14:textId="6DCE9C96"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Pince</w:t>
            </w:r>
          </w:p>
        </w:tc>
        <w:tc>
          <w:tcPr>
            <w:tcW w:w="897" w:type="dxa"/>
            <w:tcBorders>
              <w:top w:val="nil"/>
              <w:left w:val="nil"/>
              <w:bottom w:val="single" w:sz="8" w:space="0" w:color="auto"/>
              <w:right w:val="single" w:sz="8" w:space="0" w:color="auto"/>
            </w:tcBorders>
            <w:shd w:val="clear" w:color="auto" w:fill="auto"/>
            <w:vAlign w:val="center"/>
          </w:tcPr>
          <w:p w14:paraId="51F07526" w14:textId="7D153906"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CB0408" w14:textId="03F79744"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766567C" w14:textId="6E92C2A2"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C10BA00" w14:textId="0F41C0FB"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669CEB7F"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DD5C784"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D5402AD" w14:textId="2A5A2592"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33</w:t>
            </w:r>
          </w:p>
        </w:tc>
        <w:tc>
          <w:tcPr>
            <w:tcW w:w="2080" w:type="dxa"/>
            <w:tcBorders>
              <w:top w:val="nil"/>
              <w:left w:val="single" w:sz="4" w:space="0" w:color="auto"/>
              <w:bottom w:val="single" w:sz="8" w:space="0" w:color="auto"/>
              <w:right w:val="single" w:sz="8" w:space="0" w:color="auto"/>
            </w:tcBorders>
            <w:shd w:val="clear" w:color="auto" w:fill="auto"/>
            <w:vAlign w:val="center"/>
          </w:tcPr>
          <w:p w14:paraId="6AF753BA" w14:textId="5F602E46"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Ciseaux</w:t>
            </w:r>
          </w:p>
        </w:tc>
        <w:tc>
          <w:tcPr>
            <w:tcW w:w="897" w:type="dxa"/>
            <w:tcBorders>
              <w:top w:val="nil"/>
              <w:left w:val="nil"/>
              <w:bottom w:val="single" w:sz="8" w:space="0" w:color="auto"/>
              <w:right w:val="single" w:sz="8" w:space="0" w:color="auto"/>
            </w:tcBorders>
            <w:shd w:val="clear" w:color="auto" w:fill="auto"/>
            <w:vAlign w:val="center"/>
          </w:tcPr>
          <w:p w14:paraId="2D53FF35" w14:textId="32398880"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A7258D1" w14:textId="365E2801"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FC6051E" w14:textId="3D2DCCB8"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BF3CC5" w14:textId="21137474"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01D94155"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D0347CC"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1E61CB9" w14:textId="07DC2447"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34</w:t>
            </w:r>
          </w:p>
        </w:tc>
        <w:tc>
          <w:tcPr>
            <w:tcW w:w="2080" w:type="dxa"/>
            <w:tcBorders>
              <w:top w:val="nil"/>
              <w:left w:val="single" w:sz="4" w:space="0" w:color="auto"/>
              <w:bottom w:val="single" w:sz="8" w:space="0" w:color="auto"/>
              <w:right w:val="single" w:sz="8" w:space="0" w:color="auto"/>
            </w:tcBorders>
            <w:shd w:val="clear" w:color="auto" w:fill="auto"/>
            <w:vAlign w:val="center"/>
          </w:tcPr>
          <w:p w14:paraId="23E8C737" w14:textId="23685A0A" w:rsidR="00D44D96" w:rsidRPr="00210523" w:rsidRDefault="00D44D96" w:rsidP="003E6A96">
            <w:pPr>
              <w:rPr>
                <w:rFonts w:ascii="Times New Roman" w:hAnsi="Times New Roman"/>
                <w:bCs/>
                <w:sz w:val="24"/>
                <w:szCs w:val="24"/>
                <w:lang w:val="fr-BE" w:eastAsia="fr-FR" w:bidi="fr-FR"/>
              </w:rPr>
            </w:pPr>
            <w:proofErr w:type="spellStart"/>
            <w:r w:rsidRPr="001C0167">
              <w:rPr>
                <w:rFonts w:ascii="Times New Roman" w:hAnsi="Times New Roman"/>
                <w:bCs/>
                <w:sz w:val="22"/>
                <w:szCs w:val="22"/>
                <w:lang w:val="fr-BE"/>
              </w:rPr>
              <w:t>Stomacher</w:t>
            </w:r>
            <w:proofErr w:type="spellEnd"/>
            <w:r w:rsidRPr="001C0167">
              <w:rPr>
                <w:rFonts w:ascii="Times New Roman" w:hAnsi="Times New Roman"/>
                <w:bCs/>
                <w:sz w:val="22"/>
                <w:szCs w:val="22"/>
                <w:lang w:val="fr-BE"/>
              </w:rPr>
              <w:t xml:space="preserve"> </w:t>
            </w:r>
          </w:p>
        </w:tc>
        <w:tc>
          <w:tcPr>
            <w:tcW w:w="897" w:type="dxa"/>
            <w:tcBorders>
              <w:top w:val="nil"/>
              <w:left w:val="nil"/>
              <w:bottom w:val="single" w:sz="8" w:space="0" w:color="auto"/>
              <w:right w:val="single" w:sz="8" w:space="0" w:color="auto"/>
            </w:tcBorders>
            <w:shd w:val="clear" w:color="auto" w:fill="auto"/>
            <w:vAlign w:val="center"/>
          </w:tcPr>
          <w:p w14:paraId="342F52F0" w14:textId="643670F0"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68D7F61" w14:textId="0267562B"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D5C7CF0" w14:textId="516162CC"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031CEB6" w14:textId="20180847"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168E46B0"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06AC0DE2"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19D4CD5" w14:textId="7552E57B"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35</w:t>
            </w:r>
          </w:p>
        </w:tc>
        <w:tc>
          <w:tcPr>
            <w:tcW w:w="2080" w:type="dxa"/>
            <w:tcBorders>
              <w:top w:val="nil"/>
              <w:left w:val="single" w:sz="4" w:space="0" w:color="auto"/>
              <w:bottom w:val="single" w:sz="8" w:space="0" w:color="auto"/>
              <w:right w:val="single" w:sz="8" w:space="0" w:color="auto"/>
            </w:tcBorders>
            <w:shd w:val="clear" w:color="auto" w:fill="auto"/>
            <w:vAlign w:val="center"/>
          </w:tcPr>
          <w:p w14:paraId="5A99348D" w14:textId="083A9433"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Bec </w:t>
            </w:r>
            <w:proofErr w:type="spellStart"/>
            <w:r w:rsidRPr="001C0167">
              <w:rPr>
                <w:rFonts w:ascii="Times New Roman" w:hAnsi="Times New Roman"/>
                <w:bCs/>
                <w:sz w:val="22"/>
                <w:szCs w:val="22"/>
                <w:lang w:val="fr-BE"/>
              </w:rPr>
              <w:t>bensen</w:t>
            </w:r>
            <w:proofErr w:type="spellEnd"/>
            <w:r w:rsidRPr="001C0167">
              <w:rPr>
                <w:rFonts w:ascii="Times New Roman" w:hAnsi="Times New Roman"/>
                <w:bCs/>
                <w:sz w:val="22"/>
                <w:szCs w:val="22"/>
                <w:lang w:val="fr-BE"/>
              </w:rPr>
              <w:t xml:space="preserve"> </w:t>
            </w:r>
          </w:p>
        </w:tc>
        <w:tc>
          <w:tcPr>
            <w:tcW w:w="897" w:type="dxa"/>
            <w:tcBorders>
              <w:top w:val="nil"/>
              <w:left w:val="nil"/>
              <w:bottom w:val="single" w:sz="8" w:space="0" w:color="auto"/>
              <w:right w:val="single" w:sz="8" w:space="0" w:color="auto"/>
            </w:tcBorders>
            <w:shd w:val="clear" w:color="auto" w:fill="auto"/>
            <w:vAlign w:val="center"/>
          </w:tcPr>
          <w:p w14:paraId="4281E41F" w14:textId="17978A3F"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C1941CC" w14:textId="55023FF1"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FFDDBFE" w14:textId="525BEA93"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ED718C" w14:textId="2B42E411"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C6E2716"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B3A9CAF"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4299E21B" w14:textId="4A542D63"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36</w:t>
            </w:r>
          </w:p>
        </w:tc>
        <w:tc>
          <w:tcPr>
            <w:tcW w:w="2080" w:type="dxa"/>
            <w:tcBorders>
              <w:top w:val="nil"/>
              <w:left w:val="single" w:sz="4" w:space="0" w:color="auto"/>
              <w:bottom w:val="single" w:sz="8" w:space="0" w:color="auto"/>
              <w:right w:val="single" w:sz="8" w:space="0" w:color="auto"/>
            </w:tcBorders>
            <w:shd w:val="clear" w:color="auto" w:fill="auto"/>
            <w:vAlign w:val="center"/>
          </w:tcPr>
          <w:p w14:paraId="2483FB74" w14:textId="0466DA4F"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Trousse outil</w:t>
            </w:r>
            <w:r>
              <w:rPr>
                <w:rFonts w:ascii="Times New Roman" w:hAnsi="Times New Roman"/>
                <w:bCs/>
                <w:sz w:val="22"/>
                <w:szCs w:val="22"/>
                <w:lang w:val="fr-BE"/>
              </w:rPr>
              <w:t>l</w:t>
            </w:r>
            <w:r w:rsidRPr="001C0167">
              <w:rPr>
                <w:rFonts w:ascii="Times New Roman" w:hAnsi="Times New Roman"/>
                <w:bCs/>
                <w:sz w:val="22"/>
                <w:szCs w:val="22"/>
                <w:lang w:val="fr-BE"/>
              </w:rPr>
              <w:t>age de test</w:t>
            </w:r>
          </w:p>
        </w:tc>
        <w:tc>
          <w:tcPr>
            <w:tcW w:w="897" w:type="dxa"/>
            <w:tcBorders>
              <w:top w:val="nil"/>
              <w:left w:val="nil"/>
              <w:bottom w:val="single" w:sz="8" w:space="0" w:color="auto"/>
              <w:right w:val="single" w:sz="8" w:space="0" w:color="auto"/>
            </w:tcBorders>
            <w:shd w:val="clear" w:color="auto" w:fill="auto"/>
            <w:vAlign w:val="center"/>
          </w:tcPr>
          <w:p w14:paraId="76525C37" w14:textId="2B9F4B4F"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A8AA55" w14:textId="403431C6"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19B5E8F" w14:textId="2D664B5A"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087926D" w14:textId="48658E0B"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3350CEB8"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0876808"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5AEF26B" w14:textId="241A3D4B"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37</w:t>
            </w:r>
          </w:p>
        </w:tc>
        <w:tc>
          <w:tcPr>
            <w:tcW w:w="2080" w:type="dxa"/>
            <w:tcBorders>
              <w:top w:val="nil"/>
              <w:left w:val="single" w:sz="4" w:space="0" w:color="auto"/>
              <w:bottom w:val="single" w:sz="8" w:space="0" w:color="auto"/>
              <w:right w:val="single" w:sz="8" w:space="0" w:color="auto"/>
            </w:tcBorders>
            <w:shd w:val="clear" w:color="auto" w:fill="auto"/>
            <w:vAlign w:val="center"/>
          </w:tcPr>
          <w:p w14:paraId="7396C1EB" w14:textId="78D1C34A"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Kit de démarrage</w:t>
            </w:r>
          </w:p>
        </w:tc>
        <w:tc>
          <w:tcPr>
            <w:tcW w:w="897" w:type="dxa"/>
            <w:tcBorders>
              <w:top w:val="nil"/>
              <w:left w:val="nil"/>
              <w:bottom w:val="single" w:sz="8" w:space="0" w:color="auto"/>
              <w:right w:val="single" w:sz="8" w:space="0" w:color="auto"/>
            </w:tcBorders>
            <w:shd w:val="clear" w:color="auto" w:fill="auto"/>
            <w:vAlign w:val="center"/>
          </w:tcPr>
          <w:p w14:paraId="799A4669" w14:textId="1918E6ED"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E8C15AB" w14:textId="7B07075F"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F280DC6" w14:textId="57B2BD5F"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A537CD" w14:textId="7F17DB12"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528246A"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E173A97"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C2F9337" w14:textId="40A6C01F"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38</w:t>
            </w:r>
          </w:p>
        </w:tc>
        <w:tc>
          <w:tcPr>
            <w:tcW w:w="2080" w:type="dxa"/>
            <w:tcBorders>
              <w:top w:val="nil"/>
              <w:left w:val="single" w:sz="4" w:space="0" w:color="auto"/>
              <w:bottom w:val="single" w:sz="8" w:space="0" w:color="auto"/>
              <w:right w:val="single" w:sz="8" w:space="0" w:color="auto"/>
            </w:tcBorders>
            <w:shd w:val="clear" w:color="auto" w:fill="auto"/>
            <w:vAlign w:val="center"/>
          </w:tcPr>
          <w:p w14:paraId="682F6F15" w14:textId="223DEFBC" w:rsidR="00D44D96" w:rsidRPr="00210523" w:rsidRDefault="00D44D96" w:rsidP="003E6A96">
            <w:pPr>
              <w:rPr>
                <w:rFonts w:ascii="Times New Roman" w:hAnsi="Times New Roman"/>
                <w:bCs/>
                <w:sz w:val="24"/>
                <w:szCs w:val="24"/>
                <w:lang w:val="fr-BE" w:eastAsia="fr-FR" w:bidi="fr-FR"/>
              </w:rPr>
            </w:pPr>
            <w:proofErr w:type="spellStart"/>
            <w:r w:rsidRPr="001C0167">
              <w:rPr>
                <w:rFonts w:ascii="Times New Roman" w:hAnsi="Times New Roman"/>
                <w:bCs/>
                <w:sz w:val="22"/>
                <w:szCs w:val="22"/>
                <w:lang w:val="fr-BE"/>
              </w:rPr>
              <w:t>Microtubes</w:t>
            </w:r>
            <w:proofErr w:type="spellEnd"/>
            <w:r w:rsidRPr="001C0167">
              <w:rPr>
                <w:rFonts w:ascii="Times New Roman" w:hAnsi="Times New Roman"/>
                <w:bCs/>
                <w:sz w:val="22"/>
                <w:szCs w:val="22"/>
                <w:lang w:val="fr-BE"/>
              </w:rPr>
              <w:t xml:space="preserve"> à centrifuger 1,5 ml</w:t>
            </w:r>
          </w:p>
        </w:tc>
        <w:tc>
          <w:tcPr>
            <w:tcW w:w="897" w:type="dxa"/>
            <w:tcBorders>
              <w:top w:val="nil"/>
              <w:left w:val="nil"/>
              <w:bottom w:val="single" w:sz="8" w:space="0" w:color="auto"/>
              <w:right w:val="single" w:sz="8" w:space="0" w:color="auto"/>
            </w:tcBorders>
            <w:shd w:val="clear" w:color="auto" w:fill="auto"/>
            <w:vAlign w:val="center"/>
          </w:tcPr>
          <w:p w14:paraId="7EC56B1E" w14:textId="6B5FC1AD"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5000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6AB4CB7" w14:textId="03ED4233"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5000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4AAFB33" w14:textId="0FAA4816"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738A99" w14:textId="129C3362"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65A07018"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009B05B"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5EBF4F39" w14:textId="281DB82E"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39</w:t>
            </w:r>
          </w:p>
        </w:tc>
        <w:tc>
          <w:tcPr>
            <w:tcW w:w="2080" w:type="dxa"/>
            <w:tcBorders>
              <w:top w:val="nil"/>
              <w:left w:val="single" w:sz="4" w:space="0" w:color="auto"/>
              <w:bottom w:val="single" w:sz="8" w:space="0" w:color="auto"/>
              <w:right w:val="single" w:sz="8" w:space="0" w:color="auto"/>
            </w:tcBorders>
            <w:shd w:val="clear" w:color="auto" w:fill="auto"/>
            <w:vAlign w:val="center"/>
          </w:tcPr>
          <w:p w14:paraId="6C4F3870" w14:textId="172F7EA7"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Tubes PCR de 0,2 ml en </w:t>
            </w:r>
            <w:proofErr w:type="spellStart"/>
            <w:r w:rsidRPr="001C0167">
              <w:rPr>
                <w:rFonts w:ascii="Times New Roman" w:hAnsi="Times New Roman"/>
                <w:bCs/>
                <w:sz w:val="22"/>
                <w:szCs w:val="22"/>
                <w:lang w:val="fr-BE"/>
              </w:rPr>
              <w:t>barettes</w:t>
            </w:r>
            <w:proofErr w:type="spellEnd"/>
            <w:r w:rsidRPr="001C0167">
              <w:rPr>
                <w:rFonts w:ascii="Times New Roman" w:hAnsi="Times New Roman"/>
                <w:bCs/>
                <w:sz w:val="22"/>
                <w:szCs w:val="22"/>
                <w:lang w:val="fr-BE"/>
              </w:rPr>
              <w:t xml:space="preserve"> (</w:t>
            </w:r>
            <w:proofErr w:type="spellStart"/>
            <w:r w:rsidRPr="001C0167">
              <w:rPr>
                <w:rFonts w:ascii="Times New Roman" w:hAnsi="Times New Roman"/>
                <w:bCs/>
                <w:sz w:val="22"/>
                <w:szCs w:val="22"/>
                <w:lang w:val="fr-BE"/>
              </w:rPr>
              <w:t>microtube</w:t>
            </w:r>
            <w:proofErr w:type="spellEnd"/>
            <w:r w:rsidRPr="001C0167">
              <w:rPr>
                <w:rFonts w:ascii="Times New Roman" w:hAnsi="Times New Roman"/>
                <w:bCs/>
                <w:sz w:val="22"/>
                <w:szCs w:val="22"/>
                <w:lang w:val="fr-BE"/>
              </w:rPr>
              <w:t xml:space="preserve"> muni d’un bouchon bombé)</w:t>
            </w:r>
          </w:p>
        </w:tc>
        <w:tc>
          <w:tcPr>
            <w:tcW w:w="897" w:type="dxa"/>
            <w:tcBorders>
              <w:top w:val="nil"/>
              <w:left w:val="nil"/>
              <w:bottom w:val="single" w:sz="8" w:space="0" w:color="auto"/>
              <w:right w:val="single" w:sz="8" w:space="0" w:color="auto"/>
            </w:tcBorders>
            <w:shd w:val="clear" w:color="auto" w:fill="auto"/>
            <w:vAlign w:val="center"/>
          </w:tcPr>
          <w:p w14:paraId="36350EC2" w14:textId="5395F0CC"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1250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C83FBE0" w14:textId="05C070AE"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1250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E627A38" w14:textId="03D6E6B6"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F798E1" w14:textId="665D912F"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1A6EA3E2"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56F9330A"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127FD2C" w14:textId="141A7A27"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40</w:t>
            </w:r>
          </w:p>
        </w:tc>
        <w:tc>
          <w:tcPr>
            <w:tcW w:w="2080" w:type="dxa"/>
            <w:tcBorders>
              <w:top w:val="nil"/>
              <w:left w:val="single" w:sz="4" w:space="0" w:color="auto"/>
              <w:bottom w:val="single" w:sz="8" w:space="0" w:color="auto"/>
              <w:right w:val="single" w:sz="8" w:space="0" w:color="auto"/>
            </w:tcBorders>
            <w:shd w:val="clear" w:color="auto" w:fill="auto"/>
            <w:vAlign w:val="center"/>
          </w:tcPr>
          <w:p w14:paraId="66284218" w14:textId="3D22D0E5" w:rsidR="00D44D96" w:rsidRPr="00210523" w:rsidRDefault="00D44D96" w:rsidP="003E6A96">
            <w:pPr>
              <w:rPr>
                <w:rFonts w:ascii="Times New Roman" w:hAnsi="Times New Roman"/>
                <w:bCs/>
                <w:sz w:val="24"/>
                <w:szCs w:val="24"/>
                <w:lang w:val="fr-BE" w:eastAsia="fr-FR" w:bidi="fr-FR"/>
              </w:rPr>
            </w:pPr>
            <w:r w:rsidRPr="000540B5">
              <w:rPr>
                <w:rFonts w:ascii="Times New Roman" w:hAnsi="Times New Roman"/>
                <w:sz w:val="22"/>
                <w:szCs w:val="22"/>
                <w:lang w:val="fr-BE"/>
              </w:rPr>
              <w:t>Paire de</w:t>
            </w:r>
            <w:r w:rsidRPr="001C0167">
              <w:rPr>
                <w:rFonts w:ascii="Times New Roman" w:hAnsi="Times New Roman"/>
                <w:b/>
                <w:bCs/>
                <w:sz w:val="22"/>
                <w:szCs w:val="22"/>
                <w:lang w:val="fr-BE"/>
              </w:rPr>
              <w:t xml:space="preserve"> </w:t>
            </w:r>
            <w:r w:rsidRPr="001C0167">
              <w:rPr>
                <w:rFonts w:ascii="Times New Roman" w:hAnsi="Times New Roman"/>
                <w:bCs/>
                <w:sz w:val="22"/>
                <w:szCs w:val="22"/>
                <w:lang w:val="fr-BE"/>
              </w:rPr>
              <w:t>Gant, latex taille m</w:t>
            </w:r>
          </w:p>
        </w:tc>
        <w:tc>
          <w:tcPr>
            <w:tcW w:w="897" w:type="dxa"/>
            <w:tcBorders>
              <w:top w:val="nil"/>
              <w:left w:val="nil"/>
              <w:bottom w:val="single" w:sz="8" w:space="0" w:color="auto"/>
              <w:right w:val="single" w:sz="8" w:space="0" w:color="auto"/>
            </w:tcBorders>
            <w:shd w:val="clear" w:color="auto" w:fill="auto"/>
            <w:vAlign w:val="center"/>
          </w:tcPr>
          <w:p w14:paraId="317C8D01" w14:textId="3A43B221"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6000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23A23A0" w14:textId="2026393C"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6000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B7576CF" w14:textId="07FC2D3A"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45BBA31" w14:textId="705FBB85"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1804B1BE"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191D518"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2A8B1D6" w14:textId="0DD863AD"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41</w:t>
            </w:r>
          </w:p>
        </w:tc>
        <w:tc>
          <w:tcPr>
            <w:tcW w:w="2080" w:type="dxa"/>
            <w:tcBorders>
              <w:top w:val="nil"/>
              <w:left w:val="single" w:sz="4" w:space="0" w:color="auto"/>
              <w:bottom w:val="single" w:sz="8" w:space="0" w:color="auto"/>
              <w:right w:val="single" w:sz="8" w:space="0" w:color="auto"/>
            </w:tcBorders>
            <w:shd w:val="clear" w:color="auto" w:fill="auto"/>
            <w:vAlign w:val="center"/>
          </w:tcPr>
          <w:p w14:paraId="4CBB60D1" w14:textId="7BB4B39C" w:rsidR="00D44D96" w:rsidRPr="00210523" w:rsidRDefault="00D44D96" w:rsidP="003E6A96">
            <w:pPr>
              <w:rPr>
                <w:rFonts w:ascii="Times New Roman" w:hAnsi="Times New Roman"/>
                <w:bCs/>
                <w:sz w:val="24"/>
                <w:szCs w:val="24"/>
                <w:lang w:val="fr-BE" w:eastAsia="fr-FR" w:bidi="fr-FR"/>
              </w:rPr>
            </w:pPr>
            <w:r w:rsidRPr="000540B5">
              <w:rPr>
                <w:rFonts w:ascii="Times New Roman" w:hAnsi="Times New Roman"/>
                <w:sz w:val="22"/>
                <w:szCs w:val="22"/>
                <w:lang w:val="fr-BE"/>
              </w:rPr>
              <w:t>Paire de</w:t>
            </w:r>
            <w:r w:rsidRPr="001C0167">
              <w:rPr>
                <w:rFonts w:ascii="Times New Roman" w:hAnsi="Times New Roman"/>
                <w:b/>
                <w:bCs/>
                <w:sz w:val="22"/>
                <w:szCs w:val="22"/>
                <w:lang w:val="fr-BE"/>
              </w:rPr>
              <w:t xml:space="preserve"> </w:t>
            </w:r>
            <w:r w:rsidRPr="001C0167">
              <w:rPr>
                <w:rFonts w:ascii="Times New Roman" w:hAnsi="Times New Roman"/>
                <w:bCs/>
                <w:sz w:val="22"/>
                <w:szCs w:val="22"/>
                <w:lang w:val="fr-BE"/>
              </w:rPr>
              <w:t>Gant, latex taille l</w:t>
            </w:r>
          </w:p>
        </w:tc>
        <w:tc>
          <w:tcPr>
            <w:tcW w:w="897" w:type="dxa"/>
            <w:tcBorders>
              <w:top w:val="nil"/>
              <w:left w:val="nil"/>
              <w:bottom w:val="single" w:sz="8" w:space="0" w:color="auto"/>
              <w:right w:val="single" w:sz="8" w:space="0" w:color="auto"/>
            </w:tcBorders>
            <w:shd w:val="clear" w:color="auto" w:fill="auto"/>
            <w:vAlign w:val="center"/>
          </w:tcPr>
          <w:p w14:paraId="4B7E185A" w14:textId="521564AB"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6000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F791A26" w14:textId="017F2723"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6000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3ECFB66" w14:textId="45F790D3"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75387E" w14:textId="457BB9BB"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379E2CCD"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07238857"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9321B90" w14:textId="30628263"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42</w:t>
            </w:r>
          </w:p>
        </w:tc>
        <w:tc>
          <w:tcPr>
            <w:tcW w:w="2080" w:type="dxa"/>
            <w:tcBorders>
              <w:top w:val="nil"/>
              <w:left w:val="single" w:sz="4" w:space="0" w:color="auto"/>
              <w:bottom w:val="single" w:sz="8" w:space="0" w:color="auto"/>
              <w:right w:val="single" w:sz="8" w:space="0" w:color="auto"/>
            </w:tcBorders>
            <w:shd w:val="clear" w:color="auto" w:fill="auto"/>
            <w:vAlign w:val="center"/>
          </w:tcPr>
          <w:p w14:paraId="125858BA" w14:textId="4E30DABE"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Pointes pour micropipettes   Pointes bleu - vol. 50 - 1000 µl</w:t>
            </w:r>
          </w:p>
        </w:tc>
        <w:tc>
          <w:tcPr>
            <w:tcW w:w="897" w:type="dxa"/>
            <w:tcBorders>
              <w:top w:val="nil"/>
              <w:left w:val="nil"/>
              <w:bottom w:val="single" w:sz="8" w:space="0" w:color="auto"/>
              <w:right w:val="single" w:sz="8" w:space="0" w:color="auto"/>
            </w:tcBorders>
            <w:shd w:val="clear" w:color="auto" w:fill="auto"/>
            <w:vAlign w:val="center"/>
          </w:tcPr>
          <w:p w14:paraId="6250A352" w14:textId="19C3D54E"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967321" w14:textId="2C9AD04B"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8CB99E0" w14:textId="76DC8157"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DAD489" w14:textId="045ADE1F"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7CCA9054"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A298E76"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74B247A" w14:textId="43448F81"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43</w:t>
            </w:r>
          </w:p>
        </w:tc>
        <w:tc>
          <w:tcPr>
            <w:tcW w:w="2080" w:type="dxa"/>
            <w:tcBorders>
              <w:top w:val="nil"/>
              <w:left w:val="single" w:sz="4" w:space="0" w:color="auto"/>
              <w:bottom w:val="single" w:sz="8" w:space="0" w:color="auto"/>
              <w:right w:val="single" w:sz="8" w:space="0" w:color="auto"/>
            </w:tcBorders>
            <w:shd w:val="clear" w:color="auto" w:fill="auto"/>
            <w:vAlign w:val="center"/>
          </w:tcPr>
          <w:p w14:paraId="58C32D77" w14:textId="38421198"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Pointes pour micropipettes   Standard (jaune) - vol. 1 - 200 µl </w:t>
            </w:r>
          </w:p>
        </w:tc>
        <w:tc>
          <w:tcPr>
            <w:tcW w:w="897" w:type="dxa"/>
            <w:tcBorders>
              <w:top w:val="nil"/>
              <w:left w:val="nil"/>
              <w:bottom w:val="single" w:sz="8" w:space="0" w:color="auto"/>
              <w:right w:val="single" w:sz="8" w:space="0" w:color="auto"/>
            </w:tcBorders>
            <w:shd w:val="clear" w:color="auto" w:fill="auto"/>
            <w:vAlign w:val="center"/>
          </w:tcPr>
          <w:p w14:paraId="52B42391" w14:textId="08DADB5E"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5000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3C55CBF" w14:textId="421EE412"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5000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583FAE2" w14:textId="25267CF5"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3C6E5E" w14:textId="50948803"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4826490"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8CB1DE8"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34719DC" w14:textId="59A9C3DE"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44</w:t>
            </w:r>
          </w:p>
        </w:tc>
        <w:tc>
          <w:tcPr>
            <w:tcW w:w="2080" w:type="dxa"/>
            <w:tcBorders>
              <w:top w:val="nil"/>
              <w:left w:val="single" w:sz="4" w:space="0" w:color="auto"/>
              <w:bottom w:val="single" w:sz="8" w:space="0" w:color="auto"/>
              <w:right w:val="single" w:sz="8" w:space="0" w:color="auto"/>
            </w:tcBorders>
            <w:shd w:val="clear" w:color="auto" w:fill="auto"/>
            <w:vAlign w:val="center"/>
          </w:tcPr>
          <w:p w14:paraId="49B7D8D3" w14:textId="5E5B6061"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Pointes pour micropipettes Ult</w:t>
            </w:r>
            <w:r>
              <w:rPr>
                <w:rFonts w:ascii="Times New Roman" w:hAnsi="Times New Roman"/>
                <w:bCs/>
                <w:sz w:val="22"/>
                <w:szCs w:val="22"/>
                <w:lang w:val="fr-BE"/>
              </w:rPr>
              <w:t>r</w:t>
            </w:r>
            <w:r w:rsidRPr="001C0167">
              <w:rPr>
                <w:rFonts w:ascii="Times New Roman" w:hAnsi="Times New Roman"/>
                <w:bCs/>
                <w:sz w:val="22"/>
                <w:szCs w:val="22"/>
                <w:lang w:val="fr-BE"/>
              </w:rPr>
              <w:t xml:space="preserve">a Fine - vol. 0.5 - 20 µl </w:t>
            </w:r>
          </w:p>
        </w:tc>
        <w:tc>
          <w:tcPr>
            <w:tcW w:w="897" w:type="dxa"/>
            <w:tcBorders>
              <w:top w:val="nil"/>
              <w:left w:val="nil"/>
              <w:bottom w:val="single" w:sz="8" w:space="0" w:color="auto"/>
              <w:right w:val="single" w:sz="8" w:space="0" w:color="auto"/>
            </w:tcBorders>
            <w:shd w:val="clear" w:color="auto" w:fill="auto"/>
            <w:vAlign w:val="center"/>
          </w:tcPr>
          <w:p w14:paraId="2D05F091" w14:textId="4F1E6A4F"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7EAC351" w14:textId="6396E024"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453CFB1" w14:textId="4F002CDD"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E53AE43" w14:textId="54C5F386"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506F5E80"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958A4C8"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8B6568A" w14:textId="0C112886"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45</w:t>
            </w:r>
          </w:p>
        </w:tc>
        <w:tc>
          <w:tcPr>
            <w:tcW w:w="2080" w:type="dxa"/>
            <w:tcBorders>
              <w:top w:val="nil"/>
              <w:left w:val="single" w:sz="4" w:space="0" w:color="auto"/>
              <w:bottom w:val="single" w:sz="8" w:space="0" w:color="auto"/>
              <w:right w:val="single" w:sz="8" w:space="0" w:color="auto"/>
            </w:tcBorders>
            <w:shd w:val="clear" w:color="auto" w:fill="auto"/>
            <w:vAlign w:val="center"/>
          </w:tcPr>
          <w:p w14:paraId="2622A35B" w14:textId="094C5E52"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Ethanol absolu - 1 l</w:t>
            </w:r>
          </w:p>
        </w:tc>
        <w:tc>
          <w:tcPr>
            <w:tcW w:w="897" w:type="dxa"/>
            <w:tcBorders>
              <w:top w:val="nil"/>
              <w:left w:val="nil"/>
              <w:bottom w:val="single" w:sz="8" w:space="0" w:color="auto"/>
              <w:right w:val="single" w:sz="8" w:space="0" w:color="auto"/>
            </w:tcBorders>
            <w:shd w:val="clear" w:color="auto" w:fill="auto"/>
            <w:vAlign w:val="center"/>
          </w:tcPr>
          <w:p w14:paraId="19E1AEE1" w14:textId="5CE12546"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FEB8E5" w14:textId="34B7B5CE"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407E3CA" w14:textId="5C298ADF"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BA7182" w14:textId="40C17E9A"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752CC04"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5B892BCA"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861D5AD" w14:textId="51CB27C2"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46</w:t>
            </w:r>
          </w:p>
        </w:tc>
        <w:tc>
          <w:tcPr>
            <w:tcW w:w="2080" w:type="dxa"/>
            <w:tcBorders>
              <w:top w:val="nil"/>
              <w:left w:val="single" w:sz="4" w:space="0" w:color="auto"/>
              <w:bottom w:val="single" w:sz="8" w:space="0" w:color="auto"/>
              <w:right w:val="single" w:sz="8" w:space="0" w:color="auto"/>
            </w:tcBorders>
            <w:shd w:val="clear" w:color="auto" w:fill="auto"/>
            <w:vAlign w:val="center"/>
          </w:tcPr>
          <w:p w14:paraId="1C4F19E7" w14:textId="79C1319D"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Chloroforme - 1 l</w:t>
            </w:r>
          </w:p>
        </w:tc>
        <w:tc>
          <w:tcPr>
            <w:tcW w:w="897" w:type="dxa"/>
            <w:tcBorders>
              <w:top w:val="nil"/>
              <w:left w:val="nil"/>
              <w:bottom w:val="single" w:sz="8" w:space="0" w:color="auto"/>
              <w:right w:val="single" w:sz="8" w:space="0" w:color="auto"/>
            </w:tcBorders>
            <w:shd w:val="clear" w:color="auto" w:fill="auto"/>
            <w:vAlign w:val="center"/>
          </w:tcPr>
          <w:p w14:paraId="21A17468" w14:textId="445FE0B2"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FB8A2E" w14:textId="0429DDAA"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1F0DCBA" w14:textId="02745F62"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50B97E" w14:textId="457BDE23"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1C4F8199"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E6974FE"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EBA0F50" w14:textId="039942B5"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47</w:t>
            </w:r>
          </w:p>
        </w:tc>
        <w:tc>
          <w:tcPr>
            <w:tcW w:w="2080" w:type="dxa"/>
            <w:tcBorders>
              <w:top w:val="nil"/>
              <w:left w:val="single" w:sz="4" w:space="0" w:color="auto"/>
              <w:bottom w:val="single" w:sz="8" w:space="0" w:color="auto"/>
              <w:right w:val="single" w:sz="8" w:space="0" w:color="auto"/>
            </w:tcBorders>
            <w:shd w:val="clear" w:color="auto" w:fill="auto"/>
            <w:vAlign w:val="center"/>
          </w:tcPr>
          <w:p w14:paraId="62EA3E23" w14:textId="728D5B0D"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Propanol-2ol </w:t>
            </w:r>
            <w:r>
              <w:rPr>
                <w:rFonts w:ascii="Times New Roman" w:hAnsi="Times New Roman"/>
                <w:bCs/>
                <w:sz w:val="22"/>
                <w:szCs w:val="22"/>
                <w:lang w:val="fr-BE"/>
              </w:rPr>
              <w:t>–</w:t>
            </w:r>
            <w:r w:rsidRPr="001C0167">
              <w:rPr>
                <w:rFonts w:ascii="Times New Roman" w:hAnsi="Times New Roman"/>
                <w:bCs/>
                <w:sz w:val="22"/>
                <w:szCs w:val="22"/>
                <w:lang w:val="fr-BE"/>
              </w:rPr>
              <w:t xml:space="preserve"> 1</w:t>
            </w:r>
            <w:r>
              <w:rPr>
                <w:rFonts w:ascii="Times New Roman" w:hAnsi="Times New Roman"/>
                <w:bCs/>
                <w:sz w:val="22"/>
                <w:szCs w:val="22"/>
                <w:lang w:val="fr-BE"/>
              </w:rPr>
              <w:t xml:space="preserve"> </w:t>
            </w:r>
            <w:r w:rsidRPr="001C0167">
              <w:rPr>
                <w:rFonts w:ascii="Times New Roman" w:hAnsi="Times New Roman"/>
                <w:bCs/>
                <w:sz w:val="22"/>
                <w:szCs w:val="22"/>
                <w:lang w:val="fr-BE"/>
              </w:rPr>
              <w:t>l</w:t>
            </w:r>
          </w:p>
        </w:tc>
        <w:tc>
          <w:tcPr>
            <w:tcW w:w="897" w:type="dxa"/>
            <w:tcBorders>
              <w:top w:val="nil"/>
              <w:left w:val="nil"/>
              <w:bottom w:val="single" w:sz="8" w:space="0" w:color="auto"/>
              <w:right w:val="single" w:sz="8" w:space="0" w:color="auto"/>
            </w:tcBorders>
            <w:shd w:val="clear" w:color="auto" w:fill="auto"/>
            <w:vAlign w:val="center"/>
          </w:tcPr>
          <w:p w14:paraId="4F5EA8E5" w14:textId="2D3BE694"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D822D68" w14:textId="3C05ACA6"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614F548" w14:textId="40BD352C"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12806E" w14:textId="35AD9CCC"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4004C422"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3E0A732"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C7B0C26" w14:textId="1A91CF3A"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48</w:t>
            </w:r>
          </w:p>
        </w:tc>
        <w:tc>
          <w:tcPr>
            <w:tcW w:w="2080" w:type="dxa"/>
            <w:tcBorders>
              <w:top w:val="nil"/>
              <w:left w:val="single" w:sz="4" w:space="0" w:color="auto"/>
              <w:bottom w:val="single" w:sz="8" w:space="0" w:color="auto"/>
              <w:right w:val="single" w:sz="8" w:space="0" w:color="auto"/>
            </w:tcBorders>
            <w:shd w:val="clear" w:color="auto" w:fill="auto"/>
            <w:vAlign w:val="center"/>
          </w:tcPr>
          <w:p w14:paraId="678DBF55" w14:textId="66C7A33C" w:rsidR="00D44D96" w:rsidRPr="00210523" w:rsidRDefault="00D44D96" w:rsidP="003E6A96">
            <w:pPr>
              <w:rPr>
                <w:rFonts w:ascii="Times New Roman" w:hAnsi="Times New Roman"/>
                <w:bCs/>
                <w:sz w:val="24"/>
                <w:szCs w:val="24"/>
                <w:lang w:val="fr-BE" w:eastAsia="fr-FR" w:bidi="fr-FR"/>
              </w:rPr>
            </w:pPr>
            <w:proofErr w:type="spellStart"/>
            <w:r w:rsidRPr="001C0167">
              <w:rPr>
                <w:rFonts w:ascii="Times New Roman" w:hAnsi="Times New Roman"/>
                <w:bCs/>
                <w:sz w:val="22"/>
                <w:szCs w:val="22"/>
                <w:lang w:val="fr-BE"/>
              </w:rPr>
              <w:t>Trizma</w:t>
            </w:r>
            <w:proofErr w:type="spellEnd"/>
            <w:r w:rsidRPr="001C0167">
              <w:rPr>
                <w:rFonts w:ascii="Times New Roman" w:hAnsi="Times New Roman"/>
                <w:bCs/>
                <w:sz w:val="22"/>
                <w:szCs w:val="22"/>
                <w:lang w:val="fr-BE"/>
              </w:rPr>
              <w:t xml:space="preserve"> Base - 1 kg</w:t>
            </w:r>
          </w:p>
        </w:tc>
        <w:tc>
          <w:tcPr>
            <w:tcW w:w="897" w:type="dxa"/>
            <w:tcBorders>
              <w:top w:val="nil"/>
              <w:left w:val="nil"/>
              <w:bottom w:val="single" w:sz="8" w:space="0" w:color="auto"/>
              <w:right w:val="single" w:sz="8" w:space="0" w:color="auto"/>
            </w:tcBorders>
            <w:shd w:val="clear" w:color="auto" w:fill="auto"/>
            <w:vAlign w:val="center"/>
          </w:tcPr>
          <w:p w14:paraId="43F1FC31" w14:textId="6E099467"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64B540" w14:textId="60650058"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38A1CBB" w14:textId="1DCB1FB0"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47D32E3" w14:textId="148B761C"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0397C442"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4A150AA"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BA04900" w14:textId="13CE135C"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49</w:t>
            </w:r>
          </w:p>
        </w:tc>
        <w:tc>
          <w:tcPr>
            <w:tcW w:w="2080" w:type="dxa"/>
            <w:tcBorders>
              <w:top w:val="nil"/>
              <w:left w:val="single" w:sz="4" w:space="0" w:color="auto"/>
              <w:bottom w:val="single" w:sz="8" w:space="0" w:color="auto"/>
              <w:right w:val="single" w:sz="8" w:space="0" w:color="auto"/>
            </w:tcBorders>
            <w:shd w:val="clear" w:color="auto" w:fill="auto"/>
            <w:vAlign w:val="center"/>
          </w:tcPr>
          <w:p w14:paraId="1F1D442B" w14:textId="33EAFE8E"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Acide borique </w:t>
            </w:r>
            <w:r>
              <w:rPr>
                <w:rFonts w:ascii="Times New Roman" w:hAnsi="Times New Roman"/>
                <w:bCs/>
                <w:sz w:val="22"/>
                <w:szCs w:val="22"/>
                <w:lang w:val="fr-BE"/>
              </w:rPr>
              <w:t>–</w:t>
            </w:r>
            <w:r w:rsidRPr="001C0167">
              <w:rPr>
                <w:rFonts w:ascii="Times New Roman" w:hAnsi="Times New Roman"/>
                <w:bCs/>
                <w:sz w:val="22"/>
                <w:szCs w:val="22"/>
                <w:lang w:val="fr-BE"/>
              </w:rPr>
              <w:t xml:space="preserve"> 1</w:t>
            </w:r>
            <w:r>
              <w:rPr>
                <w:rFonts w:ascii="Times New Roman" w:hAnsi="Times New Roman"/>
                <w:bCs/>
                <w:sz w:val="22"/>
                <w:szCs w:val="22"/>
                <w:lang w:val="fr-BE"/>
              </w:rPr>
              <w:t xml:space="preserve"> </w:t>
            </w:r>
            <w:r w:rsidRPr="001C0167">
              <w:rPr>
                <w:rFonts w:ascii="Times New Roman" w:hAnsi="Times New Roman"/>
                <w:bCs/>
                <w:sz w:val="22"/>
                <w:szCs w:val="22"/>
                <w:lang w:val="fr-BE"/>
              </w:rPr>
              <w:t>kg</w:t>
            </w:r>
          </w:p>
        </w:tc>
        <w:tc>
          <w:tcPr>
            <w:tcW w:w="897" w:type="dxa"/>
            <w:tcBorders>
              <w:top w:val="nil"/>
              <w:left w:val="nil"/>
              <w:bottom w:val="single" w:sz="8" w:space="0" w:color="auto"/>
              <w:right w:val="single" w:sz="8" w:space="0" w:color="auto"/>
            </w:tcBorders>
            <w:shd w:val="clear" w:color="auto" w:fill="auto"/>
            <w:vAlign w:val="center"/>
          </w:tcPr>
          <w:p w14:paraId="40CCDDD1" w14:textId="008F2F0E"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667D9C" w14:textId="453EDB7A"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CED859E" w14:textId="17769FDB"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F2BBDDE" w14:textId="3CDF4171"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A7D0BD9"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050D56A"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818419C" w14:textId="415D70F7"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50</w:t>
            </w:r>
          </w:p>
        </w:tc>
        <w:tc>
          <w:tcPr>
            <w:tcW w:w="2080" w:type="dxa"/>
            <w:tcBorders>
              <w:top w:val="nil"/>
              <w:left w:val="single" w:sz="4" w:space="0" w:color="auto"/>
              <w:bottom w:val="single" w:sz="8" w:space="0" w:color="auto"/>
              <w:right w:val="single" w:sz="8" w:space="0" w:color="auto"/>
            </w:tcBorders>
            <w:shd w:val="clear" w:color="auto" w:fill="auto"/>
            <w:vAlign w:val="center"/>
          </w:tcPr>
          <w:p w14:paraId="0599F27D" w14:textId="38C3998F"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EDTA - 1 kg</w:t>
            </w:r>
          </w:p>
        </w:tc>
        <w:tc>
          <w:tcPr>
            <w:tcW w:w="897" w:type="dxa"/>
            <w:tcBorders>
              <w:top w:val="nil"/>
              <w:left w:val="nil"/>
              <w:bottom w:val="single" w:sz="8" w:space="0" w:color="auto"/>
              <w:right w:val="single" w:sz="8" w:space="0" w:color="auto"/>
            </w:tcBorders>
            <w:shd w:val="clear" w:color="auto" w:fill="auto"/>
            <w:vAlign w:val="center"/>
          </w:tcPr>
          <w:p w14:paraId="7DF85FB3" w14:textId="100CD47A"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7C625E" w14:textId="5BDE5E52"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AD6923C" w14:textId="7CD55A8F"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B4B25B" w14:textId="200019EF"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1F4B48D9"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A3C4BD8"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63656F1" w14:textId="42E6D705"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51</w:t>
            </w:r>
          </w:p>
        </w:tc>
        <w:tc>
          <w:tcPr>
            <w:tcW w:w="2080" w:type="dxa"/>
            <w:tcBorders>
              <w:top w:val="nil"/>
              <w:left w:val="single" w:sz="4" w:space="0" w:color="auto"/>
              <w:bottom w:val="single" w:sz="8" w:space="0" w:color="auto"/>
              <w:right w:val="single" w:sz="8" w:space="0" w:color="auto"/>
            </w:tcBorders>
            <w:shd w:val="clear" w:color="auto" w:fill="auto"/>
            <w:vAlign w:val="center"/>
          </w:tcPr>
          <w:p w14:paraId="3DB21B3E" w14:textId="2CD3AD04" w:rsidR="00D44D96" w:rsidRPr="00210523" w:rsidRDefault="00D44D96" w:rsidP="003E6A96">
            <w:pPr>
              <w:rPr>
                <w:rFonts w:ascii="Times New Roman" w:hAnsi="Times New Roman"/>
                <w:bCs/>
                <w:sz w:val="24"/>
                <w:szCs w:val="24"/>
                <w:lang w:val="fr-BE" w:eastAsia="fr-FR" w:bidi="fr-FR"/>
              </w:rPr>
            </w:pPr>
            <w:proofErr w:type="spellStart"/>
            <w:r w:rsidRPr="001C0167">
              <w:rPr>
                <w:rFonts w:ascii="Times New Roman" w:hAnsi="Times New Roman"/>
                <w:bCs/>
                <w:sz w:val="22"/>
                <w:szCs w:val="22"/>
                <w:lang w:val="fr-BE"/>
              </w:rPr>
              <w:t>Nacl</w:t>
            </w:r>
            <w:proofErr w:type="spellEnd"/>
            <w:r w:rsidRPr="001C0167">
              <w:rPr>
                <w:rFonts w:ascii="Times New Roman" w:hAnsi="Times New Roman"/>
                <w:bCs/>
                <w:sz w:val="22"/>
                <w:szCs w:val="22"/>
                <w:lang w:val="fr-BE"/>
              </w:rPr>
              <w:t xml:space="preserve"> - 1 kg</w:t>
            </w:r>
          </w:p>
        </w:tc>
        <w:tc>
          <w:tcPr>
            <w:tcW w:w="897" w:type="dxa"/>
            <w:tcBorders>
              <w:top w:val="nil"/>
              <w:left w:val="nil"/>
              <w:bottom w:val="single" w:sz="8" w:space="0" w:color="auto"/>
              <w:right w:val="single" w:sz="8" w:space="0" w:color="auto"/>
            </w:tcBorders>
            <w:shd w:val="clear" w:color="auto" w:fill="auto"/>
            <w:vAlign w:val="center"/>
          </w:tcPr>
          <w:p w14:paraId="74CBDC22" w14:textId="573FFC20"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C8F08C" w14:textId="3EEFB493"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6C10FC9" w14:textId="0CEF4193"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87858F" w14:textId="51B35388"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3BDD25AC"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5826EC46"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843239A" w14:textId="4FA12FE5"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52</w:t>
            </w:r>
          </w:p>
        </w:tc>
        <w:tc>
          <w:tcPr>
            <w:tcW w:w="2080" w:type="dxa"/>
            <w:tcBorders>
              <w:top w:val="nil"/>
              <w:left w:val="single" w:sz="4" w:space="0" w:color="auto"/>
              <w:bottom w:val="single" w:sz="8" w:space="0" w:color="auto"/>
              <w:right w:val="single" w:sz="8" w:space="0" w:color="auto"/>
            </w:tcBorders>
            <w:shd w:val="clear" w:color="auto" w:fill="auto"/>
            <w:vAlign w:val="center"/>
          </w:tcPr>
          <w:p w14:paraId="72B9B38B" w14:textId="75B73BEE"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MATAB - 500 mg</w:t>
            </w:r>
          </w:p>
        </w:tc>
        <w:tc>
          <w:tcPr>
            <w:tcW w:w="897" w:type="dxa"/>
            <w:tcBorders>
              <w:top w:val="nil"/>
              <w:left w:val="nil"/>
              <w:bottom w:val="single" w:sz="8" w:space="0" w:color="auto"/>
              <w:right w:val="single" w:sz="8" w:space="0" w:color="auto"/>
            </w:tcBorders>
            <w:shd w:val="clear" w:color="auto" w:fill="auto"/>
            <w:vAlign w:val="center"/>
          </w:tcPr>
          <w:p w14:paraId="5929CB37" w14:textId="4CB8389F"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65D03A" w14:textId="67986BE9"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3F21357" w14:textId="5D70ABE0"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DCDB61" w14:textId="467E8F3C"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1F3A55F0"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DFB0DA7"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347952A" w14:textId="11830E34"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53</w:t>
            </w:r>
          </w:p>
        </w:tc>
        <w:tc>
          <w:tcPr>
            <w:tcW w:w="2080" w:type="dxa"/>
            <w:tcBorders>
              <w:top w:val="nil"/>
              <w:left w:val="single" w:sz="4" w:space="0" w:color="auto"/>
              <w:bottom w:val="single" w:sz="8" w:space="0" w:color="auto"/>
              <w:right w:val="single" w:sz="8" w:space="0" w:color="auto"/>
            </w:tcBorders>
            <w:shd w:val="clear" w:color="auto" w:fill="auto"/>
            <w:vAlign w:val="center"/>
          </w:tcPr>
          <w:p w14:paraId="3C322966" w14:textId="6BC4945D"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Agarose - 1 kg</w:t>
            </w:r>
          </w:p>
        </w:tc>
        <w:tc>
          <w:tcPr>
            <w:tcW w:w="897" w:type="dxa"/>
            <w:tcBorders>
              <w:top w:val="nil"/>
              <w:left w:val="nil"/>
              <w:bottom w:val="single" w:sz="8" w:space="0" w:color="auto"/>
              <w:right w:val="single" w:sz="8" w:space="0" w:color="auto"/>
            </w:tcBorders>
            <w:shd w:val="clear" w:color="auto" w:fill="auto"/>
            <w:vAlign w:val="center"/>
          </w:tcPr>
          <w:p w14:paraId="6B6B1049" w14:textId="5260F797"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5C9F62" w14:textId="0049C8FE"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D5B2494" w14:textId="29B063BC"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972186" w14:textId="6EEEE442"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2CD59C4"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BFF9DA6"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84FAB64" w14:textId="6F7CABD1"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54</w:t>
            </w:r>
          </w:p>
        </w:tc>
        <w:tc>
          <w:tcPr>
            <w:tcW w:w="2080" w:type="dxa"/>
            <w:tcBorders>
              <w:top w:val="nil"/>
              <w:left w:val="single" w:sz="4" w:space="0" w:color="auto"/>
              <w:bottom w:val="single" w:sz="8" w:space="0" w:color="auto"/>
              <w:right w:val="single" w:sz="8" w:space="0" w:color="auto"/>
            </w:tcBorders>
            <w:shd w:val="clear" w:color="auto" w:fill="auto"/>
            <w:vAlign w:val="center"/>
          </w:tcPr>
          <w:p w14:paraId="636EFD1C" w14:textId="1CD870D5"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PEG 6000 - 1 kg</w:t>
            </w:r>
          </w:p>
        </w:tc>
        <w:tc>
          <w:tcPr>
            <w:tcW w:w="897" w:type="dxa"/>
            <w:tcBorders>
              <w:top w:val="nil"/>
              <w:left w:val="nil"/>
              <w:bottom w:val="single" w:sz="8" w:space="0" w:color="auto"/>
              <w:right w:val="single" w:sz="8" w:space="0" w:color="auto"/>
            </w:tcBorders>
            <w:shd w:val="clear" w:color="auto" w:fill="auto"/>
            <w:vAlign w:val="center"/>
          </w:tcPr>
          <w:p w14:paraId="33F0F696" w14:textId="6D072ECC"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30A30C" w14:textId="5DB7B2B5"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AEBD2EE" w14:textId="6B4FB7F9"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07F0EA" w14:textId="6C51ACB6"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7A4B4FA1"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AF9729E"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EAEFD01" w14:textId="366D5141"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55</w:t>
            </w:r>
          </w:p>
        </w:tc>
        <w:tc>
          <w:tcPr>
            <w:tcW w:w="2080" w:type="dxa"/>
            <w:tcBorders>
              <w:top w:val="nil"/>
              <w:left w:val="single" w:sz="4" w:space="0" w:color="auto"/>
              <w:bottom w:val="single" w:sz="8" w:space="0" w:color="auto"/>
              <w:right w:val="single" w:sz="8" w:space="0" w:color="auto"/>
            </w:tcBorders>
            <w:shd w:val="clear" w:color="auto" w:fill="auto"/>
            <w:vAlign w:val="center"/>
          </w:tcPr>
          <w:p w14:paraId="6A2CCE87" w14:textId="1AD2F518"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Tris </w:t>
            </w:r>
            <w:proofErr w:type="spellStart"/>
            <w:r w:rsidRPr="001C0167">
              <w:rPr>
                <w:rFonts w:ascii="Times New Roman" w:hAnsi="Times New Roman"/>
                <w:bCs/>
                <w:sz w:val="22"/>
                <w:szCs w:val="22"/>
                <w:lang w:val="fr-BE"/>
              </w:rPr>
              <w:t>Acetate</w:t>
            </w:r>
            <w:proofErr w:type="spellEnd"/>
            <w:r w:rsidRPr="001C0167">
              <w:rPr>
                <w:rFonts w:ascii="Times New Roman" w:hAnsi="Times New Roman"/>
                <w:bCs/>
                <w:sz w:val="22"/>
                <w:szCs w:val="22"/>
                <w:lang w:val="fr-BE"/>
              </w:rPr>
              <w:t xml:space="preserve"> EDTA - 50x Tris </w:t>
            </w:r>
            <w:proofErr w:type="spellStart"/>
            <w:r w:rsidRPr="001C0167">
              <w:rPr>
                <w:rFonts w:ascii="Times New Roman" w:hAnsi="Times New Roman"/>
                <w:bCs/>
                <w:sz w:val="22"/>
                <w:szCs w:val="22"/>
                <w:lang w:val="fr-BE"/>
              </w:rPr>
              <w:t>Acetate</w:t>
            </w:r>
            <w:proofErr w:type="spellEnd"/>
            <w:r w:rsidRPr="001C0167">
              <w:rPr>
                <w:rFonts w:ascii="Times New Roman" w:hAnsi="Times New Roman"/>
                <w:bCs/>
                <w:sz w:val="22"/>
                <w:szCs w:val="22"/>
                <w:lang w:val="fr-BE"/>
              </w:rPr>
              <w:t xml:space="preserve"> EDTA (50x TAE Buffer 4 litres)</w:t>
            </w:r>
          </w:p>
        </w:tc>
        <w:tc>
          <w:tcPr>
            <w:tcW w:w="897" w:type="dxa"/>
            <w:tcBorders>
              <w:top w:val="nil"/>
              <w:left w:val="nil"/>
              <w:bottom w:val="single" w:sz="8" w:space="0" w:color="auto"/>
              <w:right w:val="single" w:sz="8" w:space="0" w:color="auto"/>
            </w:tcBorders>
            <w:shd w:val="clear" w:color="auto" w:fill="auto"/>
            <w:vAlign w:val="center"/>
          </w:tcPr>
          <w:p w14:paraId="53FBEF9A" w14:textId="479B4B3C"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323C9A1" w14:textId="145BB9A1"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EFAE16F" w14:textId="1DED248A"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A71ECA" w14:textId="2D9F8DD0"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32812E8D"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63ADE7B"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B75EC6E" w14:textId="2A116253"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56</w:t>
            </w:r>
          </w:p>
        </w:tc>
        <w:tc>
          <w:tcPr>
            <w:tcW w:w="2080" w:type="dxa"/>
            <w:tcBorders>
              <w:top w:val="nil"/>
              <w:left w:val="single" w:sz="4" w:space="0" w:color="auto"/>
              <w:bottom w:val="single" w:sz="8" w:space="0" w:color="auto"/>
              <w:right w:val="single" w:sz="8" w:space="0" w:color="auto"/>
            </w:tcBorders>
            <w:shd w:val="clear" w:color="auto" w:fill="auto"/>
            <w:vAlign w:val="center"/>
          </w:tcPr>
          <w:p w14:paraId="45FBDFF9" w14:textId="77F5E45D"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Agarose - 1000g </w:t>
            </w:r>
            <w:r w:rsidRPr="001C0167">
              <w:rPr>
                <w:rFonts w:ascii="Times New Roman" w:hAnsi="Times New Roman"/>
                <w:bCs/>
                <w:color w:val="000000"/>
                <w:lang w:val="fr-BE"/>
              </w:rPr>
              <w:t>Ash: ≤ 0.5 %</w:t>
            </w:r>
          </w:p>
        </w:tc>
        <w:tc>
          <w:tcPr>
            <w:tcW w:w="897" w:type="dxa"/>
            <w:tcBorders>
              <w:top w:val="nil"/>
              <w:left w:val="nil"/>
              <w:bottom w:val="single" w:sz="8" w:space="0" w:color="auto"/>
              <w:right w:val="single" w:sz="8" w:space="0" w:color="auto"/>
            </w:tcBorders>
            <w:shd w:val="clear" w:color="auto" w:fill="auto"/>
            <w:vAlign w:val="center"/>
          </w:tcPr>
          <w:p w14:paraId="6ACC2D25" w14:textId="2BA211D8"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ECCE8A" w14:textId="5D102992"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8BC65C3" w14:textId="5017AB0B"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98DDAE" w14:textId="37099924"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692A1E97"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0E3B45C"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5A8AFECB" w14:textId="2F46B84D"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57</w:t>
            </w:r>
          </w:p>
        </w:tc>
        <w:tc>
          <w:tcPr>
            <w:tcW w:w="2080" w:type="dxa"/>
            <w:tcBorders>
              <w:top w:val="nil"/>
              <w:left w:val="single" w:sz="4" w:space="0" w:color="auto"/>
              <w:bottom w:val="single" w:sz="8" w:space="0" w:color="auto"/>
              <w:right w:val="single" w:sz="8" w:space="0" w:color="auto"/>
            </w:tcBorders>
            <w:shd w:val="clear" w:color="auto" w:fill="auto"/>
            <w:vAlign w:val="center"/>
          </w:tcPr>
          <w:p w14:paraId="215D95A1" w14:textId="471926D5"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Colorant d'acide nucléique </w:t>
            </w:r>
          </w:p>
        </w:tc>
        <w:tc>
          <w:tcPr>
            <w:tcW w:w="897" w:type="dxa"/>
            <w:tcBorders>
              <w:top w:val="nil"/>
              <w:left w:val="nil"/>
              <w:bottom w:val="single" w:sz="8" w:space="0" w:color="auto"/>
              <w:right w:val="single" w:sz="8" w:space="0" w:color="auto"/>
            </w:tcBorders>
            <w:shd w:val="clear" w:color="auto" w:fill="auto"/>
            <w:vAlign w:val="center"/>
          </w:tcPr>
          <w:p w14:paraId="1E41F9D6" w14:textId="0393452B"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1A50FF" w14:textId="0644D33F"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0A220B3" w14:textId="1968D136"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6CD599B" w14:textId="652EB65E"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3B2A6985"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0FE46E69"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496C66AB" w14:textId="2AF39072"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58</w:t>
            </w:r>
          </w:p>
        </w:tc>
        <w:tc>
          <w:tcPr>
            <w:tcW w:w="2080" w:type="dxa"/>
            <w:tcBorders>
              <w:top w:val="nil"/>
              <w:left w:val="single" w:sz="4" w:space="0" w:color="auto"/>
              <w:bottom w:val="single" w:sz="8" w:space="0" w:color="auto"/>
              <w:right w:val="single" w:sz="8" w:space="0" w:color="auto"/>
            </w:tcBorders>
            <w:shd w:val="clear" w:color="auto" w:fill="auto"/>
            <w:vAlign w:val="center"/>
          </w:tcPr>
          <w:p w14:paraId="5EAB949F" w14:textId="5CF941CD"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100 </w:t>
            </w:r>
            <w:proofErr w:type="spellStart"/>
            <w:r w:rsidRPr="001C0167">
              <w:rPr>
                <w:rFonts w:ascii="Times New Roman" w:hAnsi="Times New Roman"/>
                <w:bCs/>
                <w:sz w:val="22"/>
                <w:szCs w:val="22"/>
                <w:lang w:val="fr-BE"/>
              </w:rPr>
              <w:t>bp</w:t>
            </w:r>
            <w:proofErr w:type="spellEnd"/>
            <w:r w:rsidRPr="001C0167">
              <w:rPr>
                <w:rFonts w:ascii="Times New Roman" w:hAnsi="Times New Roman"/>
                <w:bCs/>
                <w:sz w:val="22"/>
                <w:szCs w:val="22"/>
                <w:lang w:val="fr-BE"/>
              </w:rPr>
              <w:t xml:space="preserve"> </w:t>
            </w:r>
            <w:proofErr w:type="spellStart"/>
            <w:r w:rsidRPr="001C0167">
              <w:rPr>
                <w:rFonts w:ascii="Times New Roman" w:hAnsi="Times New Roman"/>
                <w:bCs/>
                <w:sz w:val="22"/>
                <w:szCs w:val="22"/>
                <w:lang w:val="fr-BE"/>
              </w:rPr>
              <w:t>Stepladder</w:t>
            </w:r>
            <w:proofErr w:type="spellEnd"/>
            <w:r w:rsidRPr="001C0167">
              <w:rPr>
                <w:rFonts w:ascii="Times New Roman" w:hAnsi="Times New Roman"/>
                <w:bCs/>
                <w:sz w:val="22"/>
                <w:szCs w:val="22"/>
                <w:lang w:val="fr-BE"/>
              </w:rPr>
              <w:t xml:space="preserve"> - 250 µl</w:t>
            </w:r>
          </w:p>
        </w:tc>
        <w:tc>
          <w:tcPr>
            <w:tcW w:w="897" w:type="dxa"/>
            <w:tcBorders>
              <w:top w:val="nil"/>
              <w:left w:val="nil"/>
              <w:bottom w:val="single" w:sz="8" w:space="0" w:color="auto"/>
              <w:right w:val="single" w:sz="8" w:space="0" w:color="auto"/>
            </w:tcBorders>
            <w:shd w:val="clear" w:color="auto" w:fill="auto"/>
            <w:vAlign w:val="center"/>
          </w:tcPr>
          <w:p w14:paraId="7771842E" w14:textId="43D130DA"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E8D28B" w14:textId="4C17255D"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6E205D2" w14:textId="2F014C3C"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0635A2" w14:textId="5FD65F67"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2458ABC"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51EE91C"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DE1BBA6" w14:textId="615E2DE3"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59</w:t>
            </w:r>
          </w:p>
        </w:tc>
        <w:tc>
          <w:tcPr>
            <w:tcW w:w="2080" w:type="dxa"/>
            <w:tcBorders>
              <w:top w:val="nil"/>
              <w:left w:val="single" w:sz="4" w:space="0" w:color="auto"/>
              <w:bottom w:val="single" w:sz="8" w:space="0" w:color="auto"/>
              <w:right w:val="single" w:sz="8" w:space="0" w:color="auto"/>
            </w:tcBorders>
            <w:shd w:val="clear" w:color="auto" w:fill="auto"/>
            <w:vAlign w:val="center"/>
          </w:tcPr>
          <w:p w14:paraId="07E8BF67" w14:textId="75134430"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Kit de réaction « en une seul</w:t>
            </w:r>
            <w:r>
              <w:rPr>
                <w:rFonts w:ascii="Times New Roman" w:hAnsi="Times New Roman"/>
                <w:bCs/>
                <w:sz w:val="22"/>
                <w:szCs w:val="22"/>
                <w:lang w:val="fr-BE"/>
              </w:rPr>
              <w:t>e</w:t>
            </w:r>
            <w:r w:rsidRPr="001C0167">
              <w:rPr>
                <w:rFonts w:ascii="Times New Roman" w:hAnsi="Times New Roman"/>
                <w:bCs/>
                <w:sz w:val="22"/>
                <w:szCs w:val="22"/>
                <w:lang w:val="fr-BE"/>
              </w:rPr>
              <w:t xml:space="preserve"> étape »</w:t>
            </w:r>
          </w:p>
        </w:tc>
        <w:tc>
          <w:tcPr>
            <w:tcW w:w="897" w:type="dxa"/>
            <w:tcBorders>
              <w:top w:val="nil"/>
              <w:left w:val="nil"/>
              <w:bottom w:val="single" w:sz="8" w:space="0" w:color="auto"/>
              <w:right w:val="single" w:sz="8" w:space="0" w:color="auto"/>
            </w:tcBorders>
            <w:shd w:val="clear" w:color="auto" w:fill="auto"/>
            <w:vAlign w:val="center"/>
          </w:tcPr>
          <w:p w14:paraId="07037BB5" w14:textId="4B4BF7CE"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BAD8574" w14:textId="3E16E8CE"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AE57D8C" w14:textId="0FEE0061"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0E2580" w14:textId="38913F0A"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E2A7DBF"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0E8169A"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42B7F6A6" w14:textId="7F2BE6C3"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60</w:t>
            </w:r>
          </w:p>
        </w:tc>
        <w:tc>
          <w:tcPr>
            <w:tcW w:w="2080" w:type="dxa"/>
            <w:tcBorders>
              <w:top w:val="nil"/>
              <w:left w:val="single" w:sz="4" w:space="0" w:color="auto"/>
              <w:bottom w:val="single" w:sz="8" w:space="0" w:color="auto"/>
              <w:right w:val="single" w:sz="8" w:space="0" w:color="auto"/>
            </w:tcBorders>
            <w:shd w:val="clear" w:color="auto" w:fill="auto"/>
            <w:vAlign w:val="center"/>
          </w:tcPr>
          <w:p w14:paraId="267E1CF1" w14:textId="593458BD"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Mini kit simplifié pour la purification et </w:t>
            </w:r>
            <w:r>
              <w:rPr>
                <w:rFonts w:ascii="Times New Roman" w:hAnsi="Times New Roman"/>
                <w:bCs/>
                <w:sz w:val="22"/>
                <w:szCs w:val="22"/>
                <w:lang w:val="fr-BE"/>
              </w:rPr>
              <w:t>l</w:t>
            </w:r>
            <w:r w:rsidRPr="001C0167">
              <w:rPr>
                <w:rFonts w:ascii="Times New Roman" w:hAnsi="Times New Roman"/>
                <w:bCs/>
                <w:sz w:val="22"/>
                <w:szCs w:val="22"/>
                <w:lang w:val="fr-BE"/>
              </w:rPr>
              <w:t>’extraction d'ARN Viral</w:t>
            </w:r>
          </w:p>
        </w:tc>
        <w:tc>
          <w:tcPr>
            <w:tcW w:w="897" w:type="dxa"/>
            <w:tcBorders>
              <w:top w:val="nil"/>
              <w:left w:val="nil"/>
              <w:bottom w:val="single" w:sz="8" w:space="0" w:color="auto"/>
              <w:right w:val="single" w:sz="8" w:space="0" w:color="auto"/>
            </w:tcBorders>
            <w:shd w:val="clear" w:color="auto" w:fill="auto"/>
            <w:vAlign w:val="center"/>
          </w:tcPr>
          <w:p w14:paraId="4F290CD6" w14:textId="3C6E8728"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DE4BED" w14:textId="372C2625"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F13A94E" w14:textId="33C0262B"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052BF86" w14:textId="6D851975"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58FD38CF"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F26DCE5"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0F50773" w14:textId="1757E2D2"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61</w:t>
            </w:r>
          </w:p>
        </w:tc>
        <w:tc>
          <w:tcPr>
            <w:tcW w:w="2080" w:type="dxa"/>
            <w:tcBorders>
              <w:top w:val="nil"/>
              <w:left w:val="single" w:sz="4" w:space="0" w:color="auto"/>
              <w:bottom w:val="single" w:sz="8" w:space="0" w:color="auto"/>
              <w:right w:val="single" w:sz="8" w:space="0" w:color="auto"/>
            </w:tcBorders>
            <w:shd w:val="clear" w:color="auto" w:fill="auto"/>
            <w:vAlign w:val="center"/>
          </w:tcPr>
          <w:p w14:paraId="532B7A7A" w14:textId="21A53E80"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Kit Gram - coffret</w:t>
            </w:r>
          </w:p>
        </w:tc>
        <w:tc>
          <w:tcPr>
            <w:tcW w:w="897" w:type="dxa"/>
            <w:tcBorders>
              <w:top w:val="nil"/>
              <w:left w:val="nil"/>
              <w:bottom w:val="single" w:sz="8" w:space="0" w:color="auto"/>
              <w:right w:val="single" w:sz="8" w:space="0" w:color="auto"/>
            </w:tcBorders>
            <w:shd w:val="clear" w:color="auto" w:fill="auto"/>
            <w:vAlign w:val="center"/>
          </w:tcPr>
          <w:p w14:paraId="460680E6" w14:textId="7743E3E4"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8BD00D" w14:textId="262E958A"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8B923B1" w14:textId="642BA8AC"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19B1426" w14:textId="79F2AAA5"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7C63402C"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05794F22"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9DD72C4" w14:textId="5B5B6E6B"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62</w:t>
            </w:r>
          </w:p>
        </w:tc>
        <w:tc>
          <w:tcPr>
            <w:tcW w:w="2080" w:type="dxa"/>
            <w:tcBorders>
              <w:top w:val="nil"/>
              <w:left w:val="single" w:sz="4" w:space="0" w:color="auto"/>
              <w:bottom w:val="single" w:sz="8" w:space="0" w:color="auto"/>
              <w:right w:val="single" w:sz="8" w:space="0" w:color="auto"/>
            </w:tcBorders>
            <w:shd w:val="clear" w:color="auto" w:fill="auto"/>
            <w:vAlign w:val="center"/>
          </w:tcPr>
          <w:p w14:paraId="5F889182" w14:textId="5DA7E85E"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Eau </w:t>
            </w:r>
            <w:proofErr w:type="spellStart"/>
            <w:r w:rsidRPr="001C0167">
              <w:rPr>
                <w:rFonts w:ascii="Times New Roman" w:hAnsi="Times New Roman"/>
                <w:bCs/>
                <w:sz w:val="22"/>
                <w:szCs w:val="22"/>
                <w:lang w:val="fr-BE"/>
              </w:rPr>
              <w:t>Peptonée</w:t>
            </w:r>
            <w:proofErr w:type="spellEnd"/>
            <w:r w:rsidRPr="001C0167">
              <w:rPr>
                <w:rFonts w:ascii="Times New Roman" w:hAnsi="Times New Roman"/>
                <w:bCs/>
                <w:sz w:val="22"/>
                <w:szCs w:val="22"/>
                <w:lang w:val="fr-BE"/>
              </w:rPr>
              <w:t xml:space="preserve"> </w:t>
            </w:r>
            <w:r>
              <w:rPr>
                <w:rFonts w:ascii="Times New Roman" w:hAnsi="Times New Roman"/>
                <w:bCs/>
                <w:sz w:val="22"/>
                <w:szCs w:val="22"/>
                <w:lang w:val="fr-BE"/>
              </w:rPr>
              <w:t>–</w:t>
            </w:r>
            <w:r w:rsidRPr="001C0167">
              <w:rPr>
                <w:rFonts w:ascii="Times New Roman" w:hAnsi="Times New Roman"/>
                <w:bCs/>
                <w:sz w:val="22"/>
                <w:szCs w:val="22"/>
                <w:lang w:val="fr-BE"/>
              </w:rPr>
              <w:t xml:space="preserve"> 500</w:t>
            </w:r>
            <w:r>
              <w:rPr>
                <w:rFonts w:ascii="Times New Roman" w:hAnsi="Times New Roman"/>
                <w:bCs/>
                <w:sz w:val="22"/>
                <w:szCs w:val="22"/>
                <w:lang w:val="fr-BE"/>
              </w:rPr>
              <w:t xml:space="preserve"> </w:t>
            </w:r>
            <w:r w:rsidRPr="001C0167">
              <w:rPr>
                <w:rFonts w:ascii="Times New Roman" w:hAnsi="Times New Roman"/>
                <w:bCs/>
                <w:sz w:val="22"/>
                <w:szCs w:val="22"/>
                <w:lang w:val="fr-BE"/>
              </w:rPr>
              <w:t>g</w:t>
            </w:r>
          </w:p>
        </w:tc>
        <w:tc>
          <w:tcPr>
            <w:tcW w:w="897" w:type="dxa"/>
            <w:tcBorders>
              <w:top w:val="nil"/>
              <w:left w:val="nil"/>
              <w:bottom w:val="single" w:sz="8" w:space="0" w:color="auto"/>
              <w:right w:val="single" w:sz="8" w:space="0" w:color="auto"/>
            </w:tcBorders>
            <w:shd w:val="clear" w:color="auto" w:fill="auto"/>
            <w:vAlign w:val="center"/>
          </w:tcPr>
          <w:p w14:paraId="15430CEF" w14:textId="028AA448"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853E518" w14:textId="33A7411D"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588B35E" w14:textId="4B13CFBA"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855FB55" w14:textId="5214F374"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1008C32B"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06A1E24E"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B7389CE" w14:textId="0D8A54C3"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63</w:t>
            </w:r>
          </w:p>
        </w:tc>
        <w:tc>
          <w:tcPr>
            <w:tcW w:w="2080" w:type="dxa"/>
            <w:tcBorders>
              <w:top w:val="nil"/>
              <w:left w:val="single" w:sz="4" w:space="0" w:color="auto"/>
              <w:bottom w:val="single" w:sz="8" w:space="0" w:color="auto"/>
              <w:right w:val="single" w:sz="8" w:space="0" w:color="auto"/>
            </w:tcBorders>
            <w:shd w:val="clear" w:color="auto" w:fill="auto"/>
            <w:vAlign w:val="center"/>
          </w:tcPr>
          <w:p w14:paraId="6A7A518A" w14:textId="0EE284ED"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EMB en poudre </w:t>
            </w:r>
            <w:r>
              <w:rPr>
                <w:rFonts w:ascii="Times New Roman" w:hAnsi="Times New Roman"/>
                <w:bCs/>
                <w:sz w:val="22"/>
                <w:szCs w:val="22"/>
                <w:lang w:val="fr-BE"/>
              </w:rPr>
              <w:t>–</w:t>
            </w:r>
            <w:r w:rsidRPr="001C0167">
              <w:rPr>
                <w:rFonts w:ascii="Times New Roman" w:hAnsi="Times New Roman"/>
                <w:bCs/>
                <w:sz w:val="22"/>
                <w:szCs w:val="22"/>
                <w:lang w:val="fr-BE"/>
              </w:rPr>
              <w:t xml:space="preserve"> 500</w:t>
            </w:r>
            <w:r>
              <w:rPr>
                <w:rFonts w:ascii="Times New Roman" w:hAnsi="Times New Roman"/>
                <w:bCs/>
                <w:sz w:val="22"/>
                <w:szCs w:val="22"/>
                <w:lang w:val="fr-BE"/>
              </w:rPr>
              <w:t xml:space="preserve"> </w:t>
            </w:r>
            <w:r w:rsidRPr="001C0167">
              <w:rPr>
                <w:rFonts w:ascii="Times New Roman" w:hAnsi="Times New Roman"/>
                <w:bCs/>
                <w:sz w:val="22"/>
                <w:szCs w:val="22"/>
                <w:lang w:val="fr-BE"/>
              </w:rPr>
              <w:t>g</w:t>
            </w:r>
          </w:p>
        </w:tc>
        <w:tc>
          <w:tcPr>
            <w:tcW w:w="897" w:type="dxa"/>
            <w:tcBorders>
              <w:top w:val="nil"/>
              <w:left w:val="nil"/>
              <w:bottom w:val="single" w:sz="8" w:space="0" w:color="auto"/>
              <w:right w:val="single" w:sz="8" w:space="0" w:color="auto"/>
            </w:tcBorders>
            <w:shd w:val="clear" w:color="auto" w:fill="auto"/>
            <w:vAlign w:val="center"/>
          </w:tcPr>
          <w:p w14:paraId="719713B1" w14:textId="1BCD1AC7"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DB511B" w14:textId="49B89571"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7C3508D" w14:textId="27FD920A"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AF5FF99" w14:textId="45D854B6"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746F76C5"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B3403E4"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55860F4E" w14:textId="23122189"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64</w:t>
            </w:r>
          </w:p>
        </w:tc>
        <w:tc>
          <w:tcPr>
            <w:tcW w:w="2080" w:type="dxa"/>
            <w:tcBorders>
              <w:top w:val="nil"/>
              <w:left w:val="single" w:sz="4" w:space="0" w:color="auto"/>
              <w:bottom w:val="single" w:sz="8" w:space="0" w:color="auto"/>
              <w:right w:val="single" w:sz="8" w:space="0" w:color="auto"/>
            </w:tcBorders>
            <w:shd w:val="clear" w:color="auto" w:fill="auto"/>
            <w:vAlign w:val="center"/>
          </w:tcPr>
          <w:p w14:paraId="1305F623" w14:textId="099D4968" w:rsidR="00D44D96" w:rsidRPr="00210523" w:rsidRDefault="00D44D96" w:rsidP="003E6A96">
            <w:pPr>
              <w:rPr>
                <w:rFonts w:ascii="Times New Roman" w:hAnsi="Times New Roman"/>
                <w:bCs/>
                <w:sz w:val="24"/>
                <w:szCs w:val="24"/>
                <w:lang w:val="fr-BE" w:eastAsia="fr-FR" w:bidi="fr-FR"/>
              </w:rPr>
            </w:pPr>
            <w:proofErr w:type="spellStart"/>
            <w:r w:rsidRPr="001C0167">
              <w:rPr>
                <w:rFonts w:ascii="Times New Roman" w:hAnsi="Times New Roman"/>
                <w:bCs/>
                <w:sz w:val="22"/>
                <w:szCs w:val="22"/>
                <w:lang w:val="fr-BE"/>
              </w:rPr>
              <w:t>Mkttn</w:t>
            </w:r>
            <w:proofErr w:type="spellEnd"/>
            <w:r w:rsidRPr="001C0167">
              <w:rPr>
                <w:rFonts w:ascii="Times New Roman" w:hAnsi="Times New Roman"/>
                <w:bCs/>
                <w:sz w:val="22"/>
                <w:szCs w:val="22"/>
                <w:lang w:val="fr-BE"/>
              </w:rPr>
              <w:t>- 500</w:t>
            </w:r>
            <w:r>
              <w:rPr>
                <w:rFonts w:ascii="Times New Roman" w:hAnsi="Times New Roman"/>
                <w:bCs/>
                <w:sz w:val="22"/>
                <w:szCs w:val="22"/>
                <w:lang w:val="fr-BE"/>
              </w:rPr>
              <w:t xml:space="preserve"> </w:t>
            </w:r>
            <w:r w:rsidRPr="001C0167">
              <w:rPr>
                <w:rFonts w:ascii="Times New Roman" w:hAnsi="Times New Roman"/>
                <w:bCs/>
                <w:sz w:val="22"/>
                <w:szCs w:val="22"/>
                <w:lang w:val="fr-BE"/>
              </w:rPr>
              <w:t>g</w:t>
            </w:r>
          </w:p>
        </w:tc>
        <w:tc>
          <w:tcPr>
            <w:tcW w:w="897" w:type="dxa"/>
            <w:tcBorders>
              <w:top w:val="nil"/>
              <w:left w:val="nil"/>
              <w:bottom w:val="single" w:sz="8" w:space="0" w:color="auto"/>
              <w:right w:val="single" w:sz="8" w:space="0" w:color="auto"/>
            </w:tcBorders>
            <w:shd w:val="clear" w:color="auto" w:fill="auto"/>
            <w:vAlign w:val="center"/>
          </w:tcPr>
          <w:p w14:paraId="66C0452D" w14:textId="2688F5C0"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2AAC7B" w14:textId="7EAF1692"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527E26B" w14:textId="26427F6B"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62606E7" w14:textId="601EFD04"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28774E4"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32C609E"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88393C0" w14:textId="7215DCF1"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65</w:t>
            </w:r>
          </w:p>
        </w:tc>
        <w:tc>
          <w:tcPr>
            <w:tcW w:w="2080" w:type="dxa"/>
            <w:tcBorders>
              <w:top w:val="nil"/>
              <w:left w:val="single" w:sz="4" w:space="0" w:color="auto"/>
              <w:bottom w:val="single" w:sz="8" w:space="0" w:color="auto"/>
              <w:right w:val="single" w:sz="8" w:space="0" w:color="auto"/>
            </w:tcBorders>
            <w:shd w:val="clear" w:color="auto" w:fill="auto"/>
            <w:vAlign w:val="center"/>
          </w:tcPr>
          <w:p w14:paraId="3AC7D417" w14:textId="4BC9F24D"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MSRV </w:t>
            </w:r>
            <w:r>
              <w:rPr>
                <w:rFonts w:ascii="Times New Roman" w:hAnsi="Times New Roman"/>
                <w:bCs/>
                <w:sz w:val="22"/>
                <w:szCs w:val="22"/>
                <w:lang w:val="fr-BE"/>
              </w:rPr>
              <w:t>–</w:t>
            </w:r>
            <w:r w:rsidRPr="001C0167">
              <w:rPr>
                <w:rFonts w:ascii="Times New Roman" w:hAnsi="Times New Roman"/>
                <w:bCs/>
                <w:sz w:val="22"/>
                <w:szCs w:val="22"/>
                <w:lang w:val="fr-BE"/>
              </w:rPr>
              <w:t xml:space="preserve"> 500</w:t>
            </w:r>
            <w:r>
              <w:rPr>
                <w:rFonts w:ascii="Times New Roman" w:hAnsi="Times New Roman"/>
                <w:bCs/>
                <w:sz w:val="22"/>
                <w:szCs w:val="22"/>
                <w:lang w:val="fr-BE"/>
              </w:rPr>
              <w:t xml:space="preserve"> </w:t>
            </w:r>
            <w:r w:rsidRPr="001C0167">
              <w:rPr>
                <w:rFonts w:ascii="Times New Roman" w:hAnsi="Times New Roman"/>
                <w:bCs/>
                <w:sz w:val="22"/>
                <w:szCs w:val="22"/>
                <w:lang w:val="fr-BE"/>
              </w:rPr>
              <w:t>g</w:t>
            </w:r>
          </w:p>
        </w:tc>
        <w:tc>
          <w:tcPr>
            <w:tcW w:w="897" w:type="dxa"/>
            <w:tcBorders>
              <w:top w:val="nil"/>
              <w:left w:val="nil"/>
              <w:bottom w:val="single" w:sz="8" w:space="0" w:color="auto"/>
              <w:right w:val="single" w:sz="8" w:space="0" w:color="auto"/>
            </w:tcBorders>
            <w:shd w:val="clear" w:color="auto" w:fill="auto"/>
            <w:vAlign w:val="center"/>
          </w:tcPr>
          <w:p w14:paraId="1F2037B2" w14:textId="6F488CBB"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056A20" w14:textId="693EBF4B"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4C52BE3" w14:textId="0E496B75"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316A45" w14:textId="31AC30A3"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91E0B30"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19C0A9F"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A504DA8" w14:textId="1D614B6B"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66</w:t>
            </w:r>
          </w:p>
        </w:tc>
        <w:tc>
          <w:tcPr>
            <w:tcW w:w="2080" w:type="dxa"/>
            <w:tcBorders>
              <w:top w:val="nil"/>
              <w:left w:val="single" w:sz="4" w:space="0" w:color="auto"/>
              <w:bottom w:val="single" w:sz="8" w:space="0" w:color="auto"/>
              <w:right w:val="single" w:sz="8" w:space="0" w:color="auto"/>
            </w:tcBorders>
            <w:shd w:val="clear" w:color="auto" w:fill="auto"/>
            <w:vAlign w:val="center"/>
          </w:tcPr>
          <w:p w14:paraId="15BFDBFC" w14:textId="3896FA60"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 xml:space="preserve">Test pour la détection de résidus d'antibiotiques dans </w:t>
            </w:r>
            <w:r>
              <w:rPr>
                <w:rFonts w:ascii="Times New Roman" w:hAnsi="Times New Roman"/>
                <w:bCs/>
                <w:sz w:val="22"/>
                <w:szCs w:val="22"/>
                <w:lang w:val="fr-BE"/>
              </w:rPr>
              <w:t>le l</w:t>
            </w:r>
            <w:r w:rsidRPr="001C0167">
              <w:rPr>
                <w:rFonts w:ascii="Times New Roman" w:hAnsi="Times New Roman"/>
                <w:bCs/>
                <w:sz w:val="22"/>
                <w:szCs w:val="22"/>
                <w:lang w:val="fr-BE"/>
              </w:rPr>
              <w:t>ait</w:t>
            </w:r>
          </w:p>
        </w:tc>
        <w:tc>
          <w:tcPr>
            <w:tcW w:w="897" w:type="dxa"/>
            <w:tcBorders>
              <w:top w:val="nil"/>
              <w:left w:val="nil"/>
              <w:bottom w:val="single" w:sz="8" w:space="0" w:color="auto"/>
              <w:right w:val="single" w:sz="8" w:space="0" w:color="auto"/>
            </w:tcBorders>
            <w:shd w:val="clear" w:color="auto" w:fill="auto"/>
            <w:vAlign w:val="center"/>
          </w:tcPr>
          <w:p w14:paraId="7C66FDA1" w14:textId="4D4BD4CC"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61CF457" w14:textId="1F4252C4"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FD661FA" w14:textId="6BA39559"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79B2C1" w14:textId="7DA56519"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6E8D63FB"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636803B"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3E21148" w14:textId="130FF8B0"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67</w:t>
            </w:r>
          </w:p>
        </w:tc>
        <w:tc>
          <w:tcPr>
            <w:tcW w:w="2080" w:type="dxa"/>
            <w:tcBorders>
              <w:top w:val="nil"/>
              <w:left w:val="single" w:sz="4" w:space="0" w:color="auto"/>
              <w:bottom w:val="single" w:sz="8" w:space="0" w:color="auto"/>
              <w:right w:val="single" w:sz="8" w:space="0" w:color="auto"/>
            </w:tcBorders>
            <w:shd w:val="clear" w:color="auto" w:fill="auto"/>
            <w:vAlign w:val="center"/>
          </w:tcPr>
          <w:p w14:paraId="62BDB352" w14:textId="66C43A2C"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Test pour la détection de résidus d'antibiotiques dans les denrées alimentaires et les aliments pour animaux</w:t>
            </w:r>
          </w:p>
        </w:tc>
        <w:tc>
          <w:tcPr>
            <w:tcW w:w="897" w:type="dxa"/>
            <w:tcBorders>
              <w:top w:val="nil"/>
              <w:left w:val="nil"/>
              <w:bottom w:val="single" w:sz="8" w:space="0" w:color="auto"/>
              <w:right w:val="single" w:sz="8" w:space="0" w:color="auto"/>
            </w:tcBorders>
            <w:shd w:val="clear" w:color="auto" w:fill="auto"/>
            <w:vAlign w:val="center"/>
          </w:tcPr>
          <w:p w14:paraId="22954B86" w14:textId="712F817B"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47F1B63" w14:textId="6EE91C78"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B4A7849" w14:textId="0A8FAB49"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2F561C2" w14:textId="44AAD128"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359126D5"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14185DA"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9B8C4CE" w14:textId="10F899B5"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68</w:t>
            </w:r>
          </w:p>
        </w:tc>
        <w:tc>
          <w:tcPr>
            <w:tcW w:w="2080" w:type="dxa"/>
            <w:tcBorders>
              <w:top w:val="nil"/>
              <w:left w:val="single" w:sz="4" w:space="0" w:color="auto"/>
              <w:bottom w:val="single" w:sz="8" w:space="0" w:color="auto"/>
              <w:right w:val="single" w:sz="8" w:space="0" w:color="auto"/>
            </w:tcBorders>
            <w:shd w:val="clear" w:color="auto" w:fill="auto"/>
            <w:vAlign w:val="center"/>
          </w:tcPr>
          <w:p w14:paraId="1062C6B1" w14:textId="2C2D6190"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Paillasse sèche glace émaillé</w:t>
            </w:r>
          </w:p>
        </w:tc>
        <w:tc>
          <w:tcPr>
            <w:tcW w:w="897" w:type="dxa"/>
            <w:tcBorders>
              <w:top w:val="nil"/>
              <w:left w:val="nil"/>
              <w:bottom w:val="single" w:sz="8" w:space="0" w:color="auto"/>
              <w:right w:val="single" w:sz="8" w:space="0" w:color="auto"/>
            </w:tcBorders>
            <w:shd w:val="clear" w:color="auto" w:fill="auto"/>
            <w:vAlign w:val="center"/>
          </w:tcPr>
          <w:p w14:paraId="386D1C17" w14:textId="468730B0"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DB6324" w14:textId="166A219D"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7772C2E" w14:textId="331B176D"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1E69ADB" w14:textId="315E78E8"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7BF25386"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C8B8296"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F1D79BA" w14:textId="64049C9D"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69</w:t>
            </w:r>
          </w:p>
        </w:tc>
        <w:tc>
          <w:tcPr>
            <w:tcW w:w="2080" w:type="dxa"/>
            <w:tcBorders>
              <w:top w:val="nil"/>
              <w:left w:val="single" w:sz="4" w:space="0" w:color="auto"/>
              <w:bottom w:val="single" w:sz="8" w:space="0" w:color="auto"/>
              <w:right w:val="single" w:sz="8" w:space="0" w:color="auto"/>
            </w:tcBorders>
            <w:shd w:val="clear" w:color="auto" w:fill="auto"/>
            <w:vAlign w:val="center"/>
          </w:tcPr>
          <w:p w14:paraId="18D3A81E" w14:textId="1FF921EE"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Paillasse sèche verre émaillé</w:t>
            </w:r>
          </w:p>
        </w:tc>
        <w:tc>
          <w:tcPr>
            <w:tcW w:w="897" w:type="dxa"/>
            <w:tcBorders>
              <w:top w:val="nil"/>
              <w:left w:val="nil"/>
              <w:bottom w:val="single" w:sz="8" w:space="0" w:color="auto"/>
              <w:right w:val="single" w:sz="8" w:space="0" w:color="auto"/>
            </w:tcBorders>
            <w:shd w:val="clear" w:color="auto" w:fill="auto"/>
            <w:vAlign w:val="center"/>
          </w:tcPr>
          <w:p w14:paraId="0AE54EAF" w14:textId="4B63A415"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A084381" w14:textId="1CE70244"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A125A9E" w14:textId="12772466"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D2B466D" w14:textId="7FBC2056"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41446F77" w14:textId="77777777" w:rsidTr="00D44D96">
        <w:trPr>
          <w:gridAfter w:val="1"/>
          <w:wAfter w:w="29" w:type="dxa"/>
          <w:trHeight w:val="174"/>
        </w:trPr>
        <w:tc>
          <w:tcPr>
            <w:tcW w:w="1951" w:type="dxa"/>
            <w:vMerge/>
            <w:tcBorders>
              <w:left w:val="single" w:sz="4" w:space="0" w:color="auto"/>
              <w:bottom w:val="single" w:sz="4" w:space="0" w:color="auto"/>
              <w:right w:val="single" w:sz="4" w:space="0" w:color="auto"/>
            </w:tcBorders>
            <w:vAlign w:val="center"/>
          </w:tcPr>
          <w:p w14:paraId="1A7B257B"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159A572" w14:textId="33977AB5" w:rsidR="00D44D96" w:rsidRDefault="00D44D96" w:rsidP="003E6A96">
            <w:pPr>
              <w:jc w:val="center"/>
              <w:rPr>
                <w:rFonts w:ascii="Times New Roman" w:hAnsi="Times New Roman"/>
                <w:bCs/>
                <w:color w:val="000000"/>
                <w:sz w:val="22"/>
                <w:szCs w:val="22"/>
                <w:lang w:eastAsia="fr-FR" w:bidi="fr-FR"/>
              </w:rPr>
            </w:pPr>
            <w:r w:rsidRPr="001C0167">
              <w:rPr>
                <w:rFonts w:ascii="Times New Roman" w:hAnsi="Times New Roman"/>
                <w:bCs/>
                <w:sz w:val="22"/>
                <w:szCs w:val="22"/>
                <w:lang w:val="fr-BE"/>
              </w:rPr>
              <w:t>70</w:t>
            </w:r>
          </w:p>
        </w:tc>
        <w:tc>
          <w:tcPr>
            <w:tcW w:w="2080" w:type="dxa"/>
            <w:tcBorders>
              <w:top w:val="nil"/>
              <w:left w:val="single" w:sz="4" w:space="0" w:color="auto"/>
              <w:bottom w:val="single" w:sz="8" w:space="0" w:color="auto"/>
              <w:right w:val="single" w:sz="8" w:space="0" w:color="auto"/>
            </w:tcBorders>
            <w:shd w:val="clear" w:color="auto" w:fill="auto"/>
            <w:vAlign w:val="center"/>
          </w:tcPr>
          <w:p w14:paraId="672CBE02" w14:textId="554B4406"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bCs/>
                <w:sz w:val="22"/>
                <w:szCs w:val="22"/>
                <w:lang w:val="fr-BE"/>
              </w:rPr>
              <w:t>Lecteur de microplaque</w:t>
            </w:r>
          </w:p>
        </w:tc>
        <w:tc>
          <w:tcPr>
            <w:tcW w:w="897" w:type="dxa"/>
            <w:tcBorders>
              <w:top w:val="nil"/>
              <w:left w:val="nil"/>
              <w:bottom w:val="single" w:sz="8" w:space="0" w:color="auto"/>
              <w:right w:val="single" w:sz="8" w:space="0" w:color="auto"/>
            </w:tcBorders>
            <w:shd w:val="clear" w:color="auto" w:fill="auto"/>
            <w:vAlign w:val="center"/>
          </w:tcPr>
          <w:p w14:paraId="3A824A64" w14:textId="489A92CB" w:rsidR="00D44D96" w:rsidRPr="003E6A96" w:rsidRDefault="00D44D96" w:rsidP="003E6A96">
            <w:pPr>
              <w:spacing w:before="0" w:after="0"/>
              <w:jc w:val="center"/>
              <w:outlineLvl w:val="0"/>
              <w:rPr>
                <w:rFonts w:ascii="Times New Roman" w:hAnsi="Times New Roman"/>
                <w:b/>
                <w:sz w:val="24"/>
                <w:szCs w:val="24"/>
                <w:lang w:val="fr-BE" w:eastAsia="fr-FR" w:bidi="fr-FR"/>
              </w:rPr>
            </w:pPr>
            <w:r w:rsidRPr="003E6A96">
              <w:rPr>
                <w:rFonts w:ascii="Times New Roman" w:hAnsi="Times New Roman"/>
                <w:b/>
                <w:sz w:val="22"/>
                <w:szCs w:val="22"/>
                <w:lang w:val="fr-BE"/>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6CA057" w14:textId="6F3187CA"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950046B" w14:textId="5A3336A9" w:rsidR="00D44D96" w:rsidRPr="006F706F" w:rsidRDefault="00D44D96" w:rsidP="003E6A96">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DC65C68" w14:textId="79C4C8FC" w:rsidR="00D44D96" w:rsidRPr="006F706F" w:rsidRDefault="00D44D96" w:rsidP="003E6A96">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2A6C41A9" w14:textId="77777777" w:rsidTr="00D44D96">
        <w:trPr>
          <w:gridAfter w:val="1"/>
          <w:wAfter w:w="29" w:type="dxa"/>
          <w:trHeight w:val="174"/>
        </w:trPr>
        <w:tc>
          <w:tcPr>
            <w:tcW w:w="1951" w:type="dxa"/>
            <w:vMerge w:val="restart"/>
            <w:tcBorders>
              <w:top w:val="single" w:sz="4" w:space="0" w:color="auto"/>
              <w:left w:val="single" w:sz="4" w:space="0" w:color="auto"/>
              <w:right w:val="single" w:sz="4" w:space="0" w:color="auto"/>
            </w:tcBorders>
            <w:vAlign w:val="center"/>
          </w:tcPr>
          <w:p w14:paraId="7974ECA3" w14:textId="1ABB1151" w:rsidR="00D44D96" w:rsidRPr="00585448" w:rsidRDefault="00D44D96" w:rsidP="003E6A96">
            <w:pPr>
              <w:spacing w:before="0" w:after="0"/>
              <w:outlineLvl w:val="0"/>
              <w:rPr>
                <w:rFonts w:ascii="Times New Roman" w:hAnsi="Times New Roman"/>
                <w:b/>
                <w:sz w:val="24"/>
                <w:szCs w:val="24"/>
                <w:lang w:val="fr-BE" w:eastAsia="fr-FR" w:bidi="fr-FR"/>
              </w:rPr>
            </w:pPr>
            <w:r w:rsidRPr="00585448">
              <w:rPr>
                <w:rFonts w:ascii="Times New Roman" w:hAnsi="Times New Roman"/>
                <w:b/>
                <w:sz w:val="24"/>
                <w:szCs w:val="24"/>
                <w:lang w:val="fr-BE" w:eastAsia="fr-FR" w:bidi="fr-FR"/>
              </w:rPr>
              <w:t>N°</w:t>
            </w:r>
            <w:r>
              <w:rPr>
                <w:rFonts w:ascii="Times New Roman" w:hAnsi="Times New Roman"/>
                <w:b/>
                <w:sz w:val="24"/>
                <w:szCs w:val="24"/>
                <w:lang w:val="fr-BE" w:eastAsia="fr-FR" w:bidi="fr-FR"/>
              </w:rPr>
              <w:t>3</w:t>
            </w:r>
            <w:r w:rsidRPr="00702956">
              <w:rPr>
                <w:rFonts w:ascii="Times New Roman" w:hAnsi="Times New Roman"/>
                <w:bCs/>
                <w:sz w:val="24"/>
                <w:szCs w:val="24"/>
                <w:lang w:val="fr-BE" w:eastAsia="fr-FR" w:bidi="fr-FR"/>
              </w:rPr>
              <w:t xml:space="preserve"> : </w:t>
            </w:r>
            <w:r>
              <w:rPr>
                <w:rFonts w:ascii="Times New Roman" w:hAnsi="Times New Roman"/>
                <w:bCs/>
                <w:sz w:val="24"/>
                <w:szCs w:val="24"/>
                <w:lang w:val="fr-BE" w:eastAsia="fr-FR" w:bidi="fr-FR"/>
              </w:rPr>
              <w:t>Kits scanner</w:t>
            </w:r>
          </w:p>
        </w:tc>
        <w:tc>
          <w:tcPr>
            <w:tcW w:w="992" w:type="dxa"/>
            <w:tcBorders>
              <w:top w:val="single" w:sz="4" w:space="0" w:color="auto"/>
              <w:left w:val="single" w:sz="4" w:space="0" w:color="auto"/>
              <w:bottom w:val="single" w:sz="4" w:space="0" w:color="auto"/>
              <w:right w:val="single" w:sz="4" w:space="0" w:color="auto"/>
            </w:tcBorders>
          </w:tcPr>
          <w:p w14:paraId="15A72333" w14:textId="0D5B547E" w:rsidR="00D44D96" w:rsidRDefault="00D44D96" w:rsidP="003E6A96">
            <w:pPr>
              <w:jc w:val="cente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1</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47FE2A47" w14:textId="0AB5DE5F"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sz w:val="22"/>
                <w:szCs w:val="22"/>
                <w:lang w:val="fr-BE"/>
              </w:rPr>
              <w:t>Ordinateur (accessoire utile au scanner)</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7CA8BBF5" w14:textId="21EF5C18" w:rsidR="00D44D96" w:rsidRPr="006F706F" w:rsidRDefault="00D44D96" w:rsidP="003E6A96">
            <w:pPr>
              <w:spacing w:before="0" w:after="0"/>
              <w:jc w:val="center"/>
              <w:outlineLvl w:val="0"/>
              <w:rPr>
                <w:rFonts w:ascii="Times New Roman" w:hAnsi="Times New Roman"/>
                <w:b/>
                <w:sz w:val="24"/>
                <w:szCs w:val="24"/>
                <w:lang w:val="fr-BE" w:eastAsia="fr-FR" w:bidi="fr-FR"/>
              </w:rPr>
            </w:pPr>
            <w:r>
              <w:rPr>
                <w:rFonts w:ascii="Times New Roman" w:hAnsi="Times New Roman"/>
                <w:b/>
                <w:sz w:val="24"/>
                <w:szCs w:val="24"/>
                <w:lang w:val="fr-BE" w:eastAsia="fr-FR" w:bidi="fr-FR"/>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03FA1DC" w14:textId="77777777" w:rsidR="00D44D96" w:rsidRPr="006F706F" w:rsidRDefault="00D44D96" w:rsidP="003E6A96">
            <w:pPr>
              <w:spacing w:before="0" w:after="0"/>
              <w:jc w:val="center"/>
              <w:rPr>
                <w:rFonts w:ascii="Times New Roman" w:hAnsi="Times New Roman"/>
                <w:bCs/>
                <w:sz w:val="24"/>
                <w:szCs w:val="24"/>
                <w:lang w:val="fr-BE" w:eastAsia="fr-FR" w:bidi="fr-FR"/>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4315880" w14:textId="77777777" w:rsidR="00D44D96" w:rsidRPr="006F706F" w:rsidRDefault="00D44D96" w:rsidP="003E6A96">
            <w:pPr>
              <w:spacing w:before="0" w:after="0"/>
              <w:jc w:val="center"/>
              <w:rPr>
                <w:rFonts w:ascii="Times New Roman" w:hAnsi="Times New Roman"/>
                <w:bCs/>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41D0FC7" w14:textId="77777777" w:rsidR="00D44D96" w:rsidRPr="006F706F" w:rsidRDefault="00D44D96" w:rsidP="003E6A96">
            <w:pPr>
              <w:spacing w:before="0" w:after="0"/>
              <w:jc w:val="center"/>
              <w:rPr>
                <w:rFonts w:ascii="Times New Roman" w:hAnsi="Times New Roman"/>
                <w:bCs/>
                <w:sz w:val="24"/>
                <w:szCs w:val="24"/>
                <w:lang w:eastAsia="fr-FR" w:bidi="fr-FR"/>
              </w:rPr>
            </w:pPr>
          </w:p>
        </w:tc>
      </w:tr>
      <w:tr w:rsidR="00D44D96" w:rsidRPr="008F3ABB" w14:paraId="0F75D449" w14:textId="77777777" w:rsidTr="00D44D96">
        <w:trPr>
          <w:gridAfter w:val="1"/>
          <w:wAfter w:w="29" w:type="dxa"/>
          <w:trHeight w:val="174"/>
        </w:trPr>
        <w:tc>
          <w:tcPr>
            <w:tcW w:w="1951" w:type="dxa"/>
            <w:vMerge/>
            <w:tcBorders>
              <w:left w:val="single" w:sz="4" w:space="0" w:color="auto"/>
              <w:bottom w:val="single" w:sz="4" w:space="0" w:color="auto"/>
              <w:right w:val="single" w:sz="4" w:space="0" w:color="auto"/>
            </w:tcBorders>
            <w:vAlign w:val="center"/>
          </w:tcPr>
          <w:p w14:paraId="161FBF12" w14:textId="77777777" w:rsidR="00D44D96" w:rsidRPr="00585448" w:rsidRDefault="00D44D96" w:rsidP="003E6A96">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tcPr>
          <w:p w14:paraId="5AF1E4BD" w14:textId="03C52CA9" w:rsidR="00D44D96" w:rsidRDefault="00D44D96" w:rsidP="003E6A96">
            <w:pPr>
              <w:jc w:val="cente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2</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0CE10047" w14:textId="34018C69" w:rsidR="00D44D96" w:rsidRPr="00210523" w:rsidRDefault="00D44D96" w:rsidP="003E6A96">
            <w:pPr>
              <w:rPr>
                <w:rFonts w:ascii="Times New Roman" w:hAnsi="Times New Roman"/>
                <w:bCs/>
                <w:sz w:val="24"/>
                <w:szCs w:val="24"/>
                <w:lang w:val="fr-BE" w:eastAsia="fr-FR" w:bidi="fr-FR"/>
              </w:rPr>
            </w:pPr>
            <w:r w:rsidRPr="001C0167">
              <w:rPr>
                <w:rFonts w:ascii="Times New Roman" w:hAnsi="Times New Roman"/>
                <w:sz w:val="22"/>
                <w:szCs w:val="22"/>
                <w:lang w:val="fr-BE"/>
              </w:rPr>
              <w:t>Scanner biologique</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2ED46090" w14:textId="76ACD26B" w:rsidR="00D44D96" w:rsidRPr="006F706F" w:rsidRDefault="00D44D96" w:rsidP="003E6A96">
            <w:pPr>
              <w:spacing w:before="0" w:after="0"/>
              <w:jc w:val="center"/>
              <w:outlineLvl w:val="0"/>
              <w:rPr>
                <w:rFonts w:ascii="Times New Roman" w:hAnsi="Times New Roman"/>
                <w:b/>
                <w:sz w:val="24"/>
                <w:szCs w:val="24"/>
                <w:lang w:val="fr-BE" w:eastAsia="fr-FR" w:bidi="fr-FR"/>
              </w:rPr>
            </w:pPr>
            <w:r>
              <w:rPr>
                <w:rFonts w:ascii="Times New Roman" w:hAnsi="Times New Roman"/>
                <w:b/>
                <w:sz w:val="24"/>
                <w:szCs w:val="24"/>
                <w:lang w:val="fr-BE" w:eastAsia="fr-FR" w:bidi="fr-FR"/>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48933B4" w14:textId="77777777" w:rsidR="00D44D96" w:rsidRPr="006F706F" w:rsidRDefault="00D44D96" w:rsidP="003E6A96">
            <w:pPr>
              <w:spacing w:before="0" w:after="0"/>
              <w:jc w:val="center"/>
              <w:rPr>
                <w:rFonts w:ascii="Times New Roman" w:hAnsi="Times New Roman"/>
                <w:bCs/>
                <w:sz w:val="24"/>
                <w:szCs w:val="24"/>
                <w:lang w:val="fr-BE" w:eastAsia="fr-FR" w:bidi="fr-FR"/>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E914D7E" w14:textId="77777777" w:rsidR="00D44D96" w:rsidRPr="006F706F" w:rsidRDefault="00D44D96" w:rsidP="003E6A96">
            <w:pPr>
              <w:spacing w:before="0" w:after="0"/>
              <w:jc w:val="center"/>
              <w:rPr>
                <w:rFonts w:ascii="Times New Roman" w:hAnsi="Times New Roman"/>
                <w:bCs/>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56B117" w14:textId="77777777" w:rsidR="00D44D96" w:rsidRPr="006F706F" w:rsidRDefault="00D44D96" w:rsidP="003E6A96">
            <w:pPr>
              <w:spacing w:before="0" w:after="0"/>
              <w:jc w:val="center"/>
              <w:rPr>
                <w:rFonts w:ascii="Times New Roman" w:hAnsi="Times New Roman"/>
                <w:bCs/>
                <w:sz w:val="24"/>
                <w:szCs w:val="24"/>
                <w:lang w:eastAsia="fr-FR" w:bidi="fr-FR"/>
              </w:rPr>
            </w:pPr>
          </w:p>
        </w:tc>
      </w:tr>
      <w:tr w:rsidR="00D44D96" w:rsidRPr="008F3ABB" w14:paraId="099D1722" w14:textId="77777777" w:rsidTr="00D44D96">
        <w:trPr>
          <w:gridAfter w:val="1"/>
          <w:wAfter w:w="29" w:type="dxa"/>
          <w:trHeight w:val="174"/>
        </w:trPr>
        <w:tc>
          <w:tcPr>
            <w:tcW w:w="1951" w:type="dxa"/>
            <w:vMerge w:val="restart"/>
            <w:tcBorders>
              <w:top w:val="single" w:sz="4" w:space="0" w:color="auto"/>
              <w:left w:val="single" w:sz="4" w:space="0" w:color="auto"/>
              <w:right w:val="single" w:sz="4" w:space="0" w:color="auto"/>
            </w:tcBorders>
            <w:vAlign w:val="center"/>
          </w:tcPr>
          <w:p w14:paraId="365DB123" w14:textId="3F14C44A" w:rsidR="00D44D96" w:rsidRPr="00585448" w:rsidRDefault="00D44D96" w:rsidP="006242AE">
            <w:pPr>
              <w:spacing w:before="0" w:after="0"/>
              <w:outlineLvl w:val="0"/>
              <w:rPr>
                <w:rFonts w:ascii="Times New Roman" w:hAnsi="Times New Roman"/>
                <w:b/>
                <w:sz w:val="24"/>
                <w:szCs w:val="24"/>
                <w:lang w:val="fr-BE" w:eastAsia="fr-FR" w:bidi="fr-FR"/>
              </w:rPr>
            </w:pPr>
            <w:r w:rsidRPr="00585448">
              <w:rPr>
                <w:rFonts w:ascii="Times New Roman" w:hAnsi="Times New Roman"/>
                <w:b/>
                <w:sz w:val="24"/>
                <w:szCs w:val="24"/>
                <w:lang w:val="fr-BE" w:eastAsia="fr-FR" w:bidi="fr-FR"/>
              </w:rPr>
              <w:t>N°</w:t>
            </w:r>
            <w:r>
              <w:rPr>
                <w:rFonts w:ascii="Times New Roman" w:hAnsi="Times New Roman"/>
                <w:b/>
                <w:sz w:val="24"/>
                <w:szCs w:val="24"/>
                <w:lang w:val="fr-BE" w:eastAsia="fr-FR" w:bidi="fr-FR"/>
              </w:rPr>
              <w:t>4</w:t>
            </w:r>
            <w:r w:rsidRPr="00702956">
              <w:rPr>
                <w:rFonts w:ascii="Times New Roman" w:hAnsi="Times New Roman"/>
                <w:bCs/>
                <w:sz w:val="24"/>
                <w:szCs w:val="24"/>
                <w:lang w:val="fr-BE" w:eastAsia="fr-FR" w:bidi="fr-FR"/>
              </w:rPr>
              <w:t xml:space="preserve"> : </w:t>
            </w:r>
            <w:r>
              <w:rPr>
                <w:rFonts w:ascii="Times New Roman" w:hAnsi="Times New Roman"/>
                <w:bCs/>
                <w:sz w:val="24"/>
                <w:szCs w:val="24"/>
                <w:lang w:val="fr-BE" w:eastAsia="fr-FR" w:bidi="fr-FR"/>
              </w:rPr>
              <w:t>Equipements électriques</w:t>
            </w:r>
          </w:p>
        </w:tc>
        <w:tc>
          <w:tcPr>
            <w:tcW w:w="992" w:type="dxa"/>
            <w:tcBorders>
              <w:top w:val="single" w:sz="4" w:space="0" w:color="auto"/>
              <w:left w:val="single" w:sz="4" w:space="0" w:color="auto"/>
              <w:bottom w:val="single" w:sz="4" w:space="0" w:color="auto"/>
              <w:right w:val="single" w:sz="4" w:space="0" w:color="auto"/>
            </w:tcBorders>
          </w:tcPr>
          <w:p w14:paraId="43616388" w14:textId="563AA947" w:rsidR="00D44D96" w:rsidRDefault="00D44D96" w:rsidP="006242AE">
            <w:pPr>
              <w:jc w:val="cente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1</w:t>
            </w:r>
          </w:p>
        </w:tc>
        <w:tc>
          <w:tcPr>
            <w:tcW w:w="2080" w:type="dxa"/>
            <w:tcBorders>
              <w:top w:val="single" w:sz="4" w:space="0" w:color="auto"/>
              <w:left w:val="single" w:sz="4" w:space="0" w:color="auto"/>
              <w:bottom w:val="single" w:sz="4" w:space="0" w:color="auto"/>
              <w:right w:val="single" w:sz="4" w:space="0" w:color="auto"/>
            </w:tcBorders>
            <w:vAlign w:val="center"/>
          </w:tcPr>
          <w:p w14:paraId="0A342DC1" w14:textId="313C034C" w:rsidR="00D44D96" w:rsidRPr="00210523" w:rsidRDefault="00D44D96" w:rsidP="006242AE">
            <w:pPr>
              <w:rPr>
                <w:rFonts w:ascii="Times New Roman" w:hAnsi="Times New Roman"/>
                <w:bCs/>
                <w:sz w:val="24"/>
                <w:szCs w:val="24"/>
                <w:lang w:val="fr-BE" w:eastAsia="fr-FR" w:bidi="fr-FR"/>
              </w:rPr>
            </w:pPr>
            <w:r w:rsidRPr="001C0167">
              <w:rPr>
                <w:rFonts w:ascii="Times New Roman" w:hAnsi="Times New Roman"/>
                <w:sz w:val="22"/>
                <w:szCs w:val="22"/>
                <w:lang w:val="fr-BE"/>
              </w:rPr>
              <w:t xml:space="preserve">Groupe électrogène  </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0ECBF452" w14:textId="7EAD1FA2" w:rsidR="00D44D96" w:rsidRPr="006F706F" w:rsidRDefault="00D44D96" w:rsidP="006242AE">
            <w:pPr>
              <w:spacing w:before="0" w:after="0"/>
              <w:jc w:val="center"/>
              <w:outlineLvl w:val="0"/>
              <w:rPr>
                <w:rFonts w:ascii="Times New Roman" w:hAnsi="Times New Roman"/>
                <w:b/>
                <w:sz w:val="24"/>
                <w:szCs w:val="24"/>
                <w:lang w:val="fr-BE" w:eastAsia="fr-FR" w:bidi="fr-FR"/>
              </w:rPr>
            </w:pPr>
            <w:r>
              <w:rPr>
                <w:rFonts w:ascii="Times New Roman" w:hAnsi="Times New Roman"/>
                <w:b/>
                <w:sz w:val="24"/>
                <w:szCs w:val="24"/>
                <w:lang w:val="fr-BE" w:eastAsia="fr-FR" w:bidi="fr-FR"/>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68B1E6" w14:textId="6741A96A" w:rsidR="00D44D96" w:rsidRPr="006F706F" w:rsidRDefault="00D44D96" w:rsidP="006242AE">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87DA2AA" w14:textId="5D0D32A7" w:rsidR="00D44D96" w:rsidRPr="006F706F" w:rsidRDefault="00D44D96" w:rsidP="006242AE">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6D632FE" w14:textId="5E5D2721" w:rsidR="00D44D96" w:rsidRPr="006F706F" w:rsidRDefault="00D44D96" w:rsidP="006242AE">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0</w:t>
            </w:r>
          </w:p>
        </w:tc>
      </w:tr>
      <w:tr w:rsidR="00D44D96" w:rsidRPr="008F3ABB" w14:paraId="37AB1462" w14:textId="77777777" w:rsidTr="00D44D96">
        <w:trPr>
          <w:gridAfter w:val="1"/>
          <w:wAfter w:w="29" w:type="dxa"/>
          <w:trHeight w:val="174"/>
        </w:trPr>
        <w:tc>
          <w:tcPr>
            <w:tcW w:w="1951" w:type="dxa"/>
            <w:vMerge/>
            <w:tcBorders>
              <w:left w:val="single" w:sz="4" w:space="0" w:color="auto"/>
              <w:bottom w:val="single" w:sz="4" w:space="0" w:color="auto"/>
              <w:right w:val="single" w:sz="4" w:space="0" w:color="auto"/>
            </w:tcBorders>
            <w:vAlign w:val="center"/>
          </w:tcPr>
          <w:p w14:paraId="6A8D362F" w14:textId="77777777" w:rsidR="00D44D96" w:rsidRPr="00585448" w:rsidRDefault="00D44D96" w:rsidP="006242AE">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tcPr>
          <w:p w14:paraId="4664AA2D" w14:textId="237CF4D7" w:rsidR="00D44D96" w:rsidRDefault="00D44D96" w:rsidP="006242AE">
            <w:pPr>
              <w:jc w:val="cente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2</w:t>
            </w:r>
          </w:p>
        </w:tc>
        <w:tc>
          <w:tcPr>
            <w:tcW w:w="2080" w:type="dxa"/>
            <w:tcBorders>
              <w:top w:val="single" w:sz="4" w:space="0" w:color="auto"/>
              <w:left w:val="single" w:sz="4" w:space="0" w:color="auto"/>
              <w:bottom w:val="single" w:sz="8" w:space="0" w:color="auto"/>
              <w:right w:val="single" w:sz="8" w:space="0" w:color="auto"/>
            </w:tcBorders>
            <w:vAlign w:val="center"/>
          </w:tcPr>
          <w:p w14:paraId="1EE158EA" w14:textId="66574D8E" w:rsidR="00D44D96" w:rsidRPr="00210523" w:rsidRDefault="00D44D96" w:rsidP="006242AE">
            <w:pPr>
              <w:rPr>
                <w:rFonts w:ascii="Times New Roman" w:hAnsi="Times New Roman"/>
                <w:bCs/>
                <w:sz w:val="24"/>
                <w:szCs w:val="24"/>
                <w:lang w:val="fr-BE" w:eastAsia="fr-FR" w:bidi="fr-FR"/>
              </w:rPr>
            </w:pPr>
            <w:r w:rsidRPr="001C0167">
              <w:rPr>
                <w:rFonts w:ascii="Times New Roman" w:hAnsi="Times New Roman"/>
                <w:sz w:val="22"/>
                <w:szCs w:val="22"/>
                <w:lang w:val="fr-BE"/>
              </w:rPr>
              <w:t>Groupe électrogène de secours</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tcPr>
          <w:p w14:paraId="461CD74F" w14:textId="52A38C13" w:rsidR="00D44D96" w:rsidRPr="006F706F" w:rsidRDefault="00D44D96" w:rsidP="006242AE">
            <w:pPr>
              <w:spacing w:before="0" w:after="0"/>
              <w:jc w:val="center"/>
              <w:outlineLvl w:val="0"/>
              <w:rPr>
                <w:rFonts w:ascii="Times New Roman" w:hAnsi="Times New Roman"/>
                <w:b/>
                <w:sz w:val="24"/>
                <w:szCs w:val="24"/>
                <w:lang w:val="fr-BE" w:eastAsia="fr-FR" w:bidi="fr-FR"/>
              </w:rPr>
            </w:pPr>
            <w:r>
              <w:rPr>
                <w:rFonts w:ascii="Times New Roman" w:hAnsi="Times New Roman"/>
                <w:b/>
                <w:sz w:val="24"/>
                <w:szCs w:val="24"/>
                <w:lang w:val="fr-BE" w:eastAsia="fr-FR" w:bidi="fr-FR"/>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7CC46B" w14:textId="36B2FD7F" w:rsidR="00D44D96" w:rsidRPr="006F706F" w:rsidRDefault="00D44D96" w:rsidP="006242AE">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C882B17" w14:textId="0BB3C92E" w:rsidR="00D44D96" w:rsidRPr="006F706F" w:rsidRDefault="00D44D96" w:rsidP="006242AE">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EE9F29C" w14:textId="0B39AD99" w:rsidR="00D44D96" w:rsidRPr="006F706F" w:rsidRDefault="00D44D96" w:rsidP="006242AE">
            <w:pPr>
              <w:spacing w:before="0" w:after="0"/>
              <w:jc w:val="center"/>
              <w:rPr>
                <w:rFonts w:ascii="Times New Roman" w:hAnsi="Times New Roman"/>
                <w:bCs/>
                <w:sz w:val="24"/>
                <w:szCs w:val="24"/>
                <w:lang w:eastAsia="fr-FR" w:bidi="fr-FR"/>
              </w:rPr>
            </w:pPr>
            <w:r>
              <w:rPr>
                <w:rFonts w:ascii="Times New Roman" w:hAnsi="Times New Roman"/>
                <w:bCs/>
                <w:sz w:val="24"/>
                <w:szCs w:val="24"/>
                <w:lang w:eastAsia="fr-FR" w:bidi="fr-FR"/>
              </w:rPr>
              <w:t>1</w:t>
            </w:r>
          </w:p>
        </w:tc>
      </w:tr>
      <w:tr w:rsidR="00D44D96" w:rsidRPr="008F3ABB" w14:paraId="13CF594B" w14:textId="77777777" w:rsidTr="00D44D96">
        <w:trPr>
          <w:gridAfter w:val="1"/>
          <w:wAfter w:w="29" w:type="dxa"/>
          <w:trHeight w:val="174"/>
        </w:trPr>
        <w:tc>
          <w:tcPr>
            <w:tcW w:w="1951" w:type="dxa"/>
            <w:vMerge w:val="restart"/>
            <w:tcBorders>
              <w:top w:val="single" w:sz="4" w:space="0" w:color="auto"/>
              <w:left w:val="single" w:sz="4" w:space="0" w:color="auto"/>
              <w:right w:val="single" w:sz="4" w:space="0" w:color="auto"/>
            </w:tcBorders>
            <w:vAlign w:val="center"/>
          </w:tcPr>
          <w:p w14:paraId="5131035C" w14:textId="47A7435B" w:rsidR="00D44D96" w:rsidRPr="00585448" w:rsidRDefault="00D44D96" w:rsidP="00BC12DC">
            <w:pPr>
              <w:spacing w:before="0" w:after="0"/>
              <w:outlineLvl w:val="0"/>
              <w:rPr>
                <w:rFonts w:ascii="Times New Roman" w:hAnsi="Times New Roman"/>
                <w:b/>
                <w:sz w:val="24"/>
                <w:szCs w:val="24"/>
                <w:lang w:val="fr-BE" w:eastAsia="fr-FR" w:bidi="fr-FR"/>
              </w:rPr>
            </w:pPr>
            <w:r w:rsidRPr="00585448">
              <w:rPr>
                <w:rFonts w:ascii="Times New Roman" w:hAnsi="Times New Roman"/>
                <w:b/>
                <w:sz w:val="24"/>
                <w:szCs w:val="24"/>
                <w:lang w:val="fr-BE" w:eastAsia="fr-FR" w:bidi="fr-FR"/>
              </w:rPr>
              <w:t>N°</w:t>
            </w:r>
            <w:r>
              <w:rPr>
                <w:rFonts w:ascii="Times New Roman" w:hAnsi="Times New Roman"/>
                <w:b/>
                <w:sz w:val="24"/>
                <w:szCs w:val="24"/>
                <w:lang w:val="fr-BE" w:eastAsia="fr-FR" w:bidi="fr-FR"/>
              </w:rPr>
              <w:t>5</w:t>
            </w:r>
            <w:r w:rsidRPr="00702956">
              <w:rPr>
                <w:rFonts w:ascii="Times New Roman" w:hAnsi="Times New Roman"/>
                <w:bCs/>
                <w:sz w:val="24"/>
                <w:szCs w:val="24"/>
                <w:lang w:val="fr-BE" w:eastAsia="fr-FR" w:bidi="fr-FR"/>
              </w:rPr>
              <w:t xml:space="preserve"> : </w:t>
            </w:r>
            <w:r>
              <w:rPr>
                <w:rFonts w:ascii="Times New Roman" w:hAnsi="Times New Roman"/>
                <w:bCs/>
                <w:sz w:val="24"/>
                <w:szCs w:val="24"/>
                <w:lang w:val="fr-BE" w:eastAsia="fr-FR" w:bidi="fr-FR"/>
              </w:rPr>
              <w:t>Equipements pour forestiers</w:t>
            </w:r>
          </w:p>
        </w:tc>
        <w:tc>
          <w:tcPr>
            <w:tcW w:w="992" w:type="dxa"/>
            <w:tcBorders>
              <w:top w:val="single" w:sz="4" w:space="0" w:color="auto"/>
              <w:left w:val="single" w:sz="4" w:space="0" w:color="auto"/>
              <w:bottom w:val="single" w:sz="4" w:space="0" w:color="auto"/>
              <w:right w:val="single" w:sz="4" w:space="0" w:color="auto"/>
            </w:tcBorders>
            <w:vAlign w:val="center"/>
          </w:tcPr>
          <w:p w14:paraId="605AC499" w14:textId="2323CEB5"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1</w:t>
            </w:r>
          </w:p>
        </w:tc>
        <w:tc>
          <w:tcPr>
            <w:tcW w:w="2080" w:type="dxa"/>
            <w:tcBorders>
              <w:top w:val="nil"/>
              <w:left w:val="single" w:sz="4" w:space="0" w:color="auto"/>
              <w:bottom w:val="single" w:sz="8" w:space="0" w:color="auto"/>
              <w:right w:val="single" w:sz="8" w:space="0" w:color="auto"/>
            </w:tcBorders>
            <w:vAlign w:val="center"/>
          </w:tcPr>
          <w:p w14:paraId="15351C2B" w14:textId="2FBDA9E8"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 xml:space="preserve">Casque Anti choc de chantier </w:t>
            </w:r>
          </w:p>
        </w:tc>
        <w:tc>
          <w:tcPr>
            <w:tcW w:w="897" w:type="dxa"/>
            <w:tcBorders>
              <w:top w:val="nil"/>
              <w:left w:val="nil"/>
              <w:bottom w:val="single" w:sz="8" w:space="0" w:color="auto"/>
              <w:right w:val="single" w:sz="8" w:space="0" w:color="auto"/>
            </w:tcBorders>
            <w:vAlign w:val="center"/>
          </w:tcPr>
          <w:p w14:paraId="31865764" w14:textId="5E1BA8E4"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9D372E5" w14:textId="7D77F043"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FEB6D52" w14:textId="7D493AC3"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55CDAA1F" w14:textId="334AF914"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25</w:t>
            </w:r>
          </w:p>
        </w:tc>
      </w:tr>
      <w:tr w:rsidR="00D44D96" w:rsidRPr="008F3ABB" w14:paraId="5819309C"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3FF03E1"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9447F98" w14:textId="1A2BECF2"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2</w:t>
            </w:r>
          </w:p>
        </w:tc>
        <w:tc>
          <w:tcPr>
            <w:tcW w:w="2080" w:type="dxa"/>
            <w:tcBorders>
              <w:top w:val="nil"/>
              <w:left w:val="single" w:sz="4" w:space="0" w:color="auto"/>
              <w:bottom w:val="single" w:sz="8" w:space="0" w:color="auto"/>
              <w:right w:val="single" w:sz="8" w:space="0" w:color="auto"/>
            </w:tcBorders>
            <w:vAlign w:val="center"/>
          </w:tcPr>
          <w:p w14:paraId="13DFAE2F" w14:textId="222DB437"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Chevillière</w:t>
            </w:r>
          </w:p>
        </w:tc>
        <w:tc>
          <w:tcPr>
            <w:tcW w:w="897" w:type="dxa"/>
            <w:tcBorders>
              <w:top w:val="nil"/>
              <w:left w:val="nil"/>
              <w:bottom w:val="single" w:sz="8" w:space="0" w:color="auto"/>
              <w:right w:val="single" w:sz="8" w:space="0" w:color="auto"/>
            </w:tcBorders>
            <w:vAlign w:val="center"/>
          </w:tcPr>
          <w:p w14:paraId="0729EAE3" w14:textId="662B295D"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E24C793" w14:textId="7D6057ED"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4094CB0" w14:textId="741A207F"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43CFC033" w14:textId="5E42336E"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w:t>
            </w:r>
          </w:p>
        </w:tc>
      </w:tr>
      <w:tr w:rsidR="00D44D96" w:rsidRPr="008F3ABB" w14:paraId="41ED188D"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596AA617"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B729CE4" w14:textId="4E677394"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3</w:t>
            </w:r>
          </w:p>
        </w:tc>
        <w:tc>
          <w:tcPr>
            <w:tcW w:w="2080" w:type="dxa"/>
            <w:tcBorders>
              <w:top w:val="nil"/>
              <w:left w:val="single" w:sz="4" w:space="0" w:color="auto"/>
              <w:bottom w:val="single" w:sz="8" w:space="0" w:color="auto"/>
              <w:right w:val="single" w:sz="8" w:space="0" w:color="auto"/>
            </w:tcBorders>
            <w:vAlign w:val="center"/>
          </w:tcPr>
          <w:p w14:paraId="26F9BD2F" w14:textId="71C9C72F"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Clisimètre</w:t>
            </w:r>
          </w:p>
        </w:tc>
        <w:tc>
          <w:tcPr>
            <w:tcW w:w="897" w:type="dxa"/>
            <w:tcBorders>
              <w:top w:val="nil"/>
              <w:left w:val="nil"/>
              <w:bottom w:val="single" w:sz="8" w:space="0" w:color="auto"/>
              <w:right w:val="single" w:sz="8" w:space="0" w:color="auto"/>
            </w:tcBorders>
            <w:vAlign w:val="center"/>
          </w:tcPr>
          <w:p w14:paraId="55DB6C58" w14:textId="20DEBC43"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D8559E" w14:textId="295D9CA7"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F596C95" w14:textId="074F7788"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34A77655" w14:textId="2CBBE186"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w:t>
            </w:r>
          </w:p>
        </w:tc>
      </w:tr>
      <w:tr w:rsidR="00D44D96" w:rsidRPr="008F3ABB" w14:paraId="5514A4B1"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F96C3D0"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5E2C52C" w14:textId="64EB4EC8"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4</w:t>
            </w:r>
          </w:p>
        </w:tc>
        <w:tc>
          <w:tcPr>
            <w:tcW w:w="2080" w:type="dxa"/>
            <w:tcBorders>
              <w:top w:val="nil"/>
              <w:left w:val="single" w:sz="4" w:space="0" w:color="auto"/>
              <w:bottom w:val="single" w:sz="8" w:space="0" w:color="auto"/>
              <w:right w:val="single" w:sz="8" w:space="0" w:color="auto"/>
            </w:tcBorders>
            <w:vAlign w:val="center"/>
          </w:tcPr>
          <w:p w14:paraId="17B3152F" w14:textId="323A4079"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Compas forestier</w:t>
            </w:r>
          </w:p>
        </w:tc>
        <w:tc>
          <w:tcPr>
            <w:tcW w:w="897" w:type="dxa"/>
            <w:tcBorders>
              <w:top w:val="nil"/>
              <w:left w:val="nil"/>
              <w:bottom w:val="single" w:sz="8" w:space="0" w:color="auto"/>
              <w:right w:val="single" w:sz="8" w:space="0" w:color="auto"/>
            </w:tcBorders>
            <w:vAlign w:val="center"/>
          </w:tcPr>
          <w:p w14:paraId="4C406AA4" w14:textId="1BE92A43"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47E2C1" w14:textId="0EA94D1D"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6D2E367" w14:textId="10000790"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636A9F5D" w14:textId="3EC78DFF"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w:t>
            </w:r>
          </w:p>
        </w:tc>
      </w:tr>
      <w:tr w:rsidR="00D44D96" w:rsidRPr="008F3ABB" w14:paraId="5D536EF8"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55F17DE"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4C2368C7" w14:textId="7FC8386C"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5</w:t>
            </w:r>
          </w:p>
        </w:tc>
        <w:tc>
          <w:tcPr>
            <w:tcW w:w="2080" w:type="dxa"/>
            <w:tcBorders>
              <w:top w:val="nil"/>
              <w:left w:val="single" w:sz="4" w:space="0" w:color="auto"/>
              <w:bottom w:val="single" w:sz="8" w:space="0" w:color="auto"/>
              <w:right w:val="single" w:sz="8" w:space="0" w:color="auto"/>
            </w:tcBorders>
            <w:vAlign w:val="center"/>
          </w:tcPr>
          <w:p w14:paraId="05778A6D" w14:textId="3F29789A"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Corde en polypropylène</w:t>
            </w:r>
          </w:p>
        </w:tc>
        <w:tc>
          <w:tcPr>
            <w:tcW w:w="897" w:type="dxa"/>
            <w:tcBorders>
              <w:top w:val="nil"/>
              <w:left w:val="nil"/>
              <w:bottom w:val="single" w:sz="8" w:space="0" w:color="auto"/>
              <w:right w:val="single" w:sz="8" w:space="0" w:color="auto"/>
            </w:tcBorders>
            <w:vAlign w:val="center"/>
          </w:tcPr>
          <w:p w14:paraId="56063796" w14:textId="5B071099"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8F53FA" w14:textId="6C2ED15D"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0957988" w14:textId="5B22C383"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61643CD5" w14:textId="089F51F2"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10</w:t>
            </w:r>
          </w:p>
        </w:tc>
      </w:tr>
      <w:tr w:rsidR="00D44D96" w:rsidRPr="008F3ABB" w14:paraId="682FE617"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53E985A3"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40B8949C" w14:textId="35047F0B"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6</w:t>
            </w:r>
          </w:p>
        </w:tc>
        <w:tc>
          <w:tcPr>
            <w:tcW w:w="2080" w:type="dxa"/>
            <w:tcBorders>
              <w:top w:val="nil"/>
              <w:left w:val="single" w:sz="4" w:space="0" w:color="auto"/>
              <w:bottom w:val="single" w:sz="8" w:space="0" w:color="auto"/>
              <w:right w:val="single" w:sz="8" w:space="0" w:color="auto"/>
            </w:tcBorders>
            <w:vAlign w:val="center"/>
          </w:tcPr>
          <w:p w14:paraId="0429E8B6" w14:textId="088A8D56"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Coupe-coupe</w:t>
            </w:r>
          </w:p>
        </w:tc>
        <w:tc>
          <w:tcPr>
            <w:tcW w:w="897" w:type="dxa"/>
            <w:tcBorders>
              <w:top w:val="nil"/>
              <w:left w:val="nil"/>
              <w:bottom w:val="single" w:sz="8" w:space="0" w:color="auto"/>
              <w:right w:val="single" w:sz="8" w:space="0" w:color="auto"/>
            </w:tcBorders>
            <w:vAlign w:val="center"/>
          </w:tcPr>
          <w:p w14:paraId="56D13EE5" w14:textId="3914A9A1"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466BA8C" w14:textId="5FB353A0"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40F6127" w14:textId="7D9C158F"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3D0EFC45" w14:textId="63177060"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10</w:t>
            </w:r>
          </w:p>
        </w:tc>
      </w:tr>
      <w:tr w:rsidR="00D44D96" w:rsidRPr="008F3ABB" w14:paraId="33D23D44"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09AEA89"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2243CA6" w14:textId="465CC288"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7</w:t>
            </w:r>
          </w:p>
        </w:tc>
        <w:tc>
          <w:tcPr>
            <w:tcW w:w="2080" w:type="dxa"/>
            <w:tcBorders>
              <w:top w:val="nil"/>
              <w:left w:val="single" w:sz="4" w:space="0" w:color="auto"/>
              <w:bottom w:val="single" w:sz="8" w:space="0" w:color="auto"/>
              <w:right w:val="single" w:sz="8" w:space="0" w:color="auto"/>
            </w:tcBorders>
            <w:vAlign w:val="center"/>
          </w:tcPr>
          <w:p w14:paraId="63376C97" w14:textId="6F9FAE46"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Dendromètre</w:t>
            </w:r>
          </w:p>
        </w:tc>
        <w:tc>
          <w:tcPr>
            <w:tcW w:w="897" w:type="dxa"/>
            <w:tcBorders>
              <w:top w:val="nil"/>
              <w:left w:val="nil"/>
              <w:bottom w:val="single" w:sz="8" w:space="0" w:color="auto"/>
              <w:right w:val="single" w:sz="8" w:space="0" w:color="auto"/>
            </w:tcBorders>
            <w:vAlign w:val="center"/>
          </w:tcPr>
          <w:p w14:paraId="604DD736" w14:textId="68BC5C7A"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462436" w14:textId="67F4197D"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EE7ED2F" w14:textId="1A82CB12"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7282D513" w14:textId="153F0D50"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w:t>
            </w:r>
          </w:p>
        </w:tc>
      </w:tr>
      <w:tr w:rsidR="00D44D96" w:rsidRPr="008F3ABB" w14:paraId="4FECD024"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597F2FB0"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F554940" w14:textId="5BEDAF96"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8</w:t>
            </w:r>
          </w:p>
        </w:tc>
        <w:tc>
          <w:tcPr>
            <w:tcW w:w="2080" w:type="dxa"/>
            <w:tcBorders>
              <w:top w:val="nil"/>
              <w:left w:val="single" w:sz="4" w:space="0" w:color="auto"/>
              <w:bottom w:val="single" w:sz="8" w:space="0" w:color="auto"/>
              <w:right w:val="single" w:sz="8" w:space="0" w:color="auto"/>
            </w:tcBorders>
            <w:vAlign w:val="center"/>
          </w:tcPr>
          <w:p w14:paraId="05E8260C" w14:textId="4875E695" w:rsidR="00D44D96" w:rsidRPr="00210523" w:rsidRDefault="00D44D96" w:rsidP="00BC12DC">
            <w:pPr>
              <w:rPr>
                <w:rFonts w:ascii="Times New Roman" w:hAnsi="Times New Roman"/>
                <w:bCs/>
                <w:sz w:val="24"/>
                <w:szCs w:val="24"/>
                <w:lang w:val="fr-BE" w:eastAsia="fr-FR" w:bidi="fr-FR"/>
              </w:rPr>
            </w:pPr>
            <w:r>
              <w:rPr>
                <w:rFonts w:ascii="Times New Roman" w:hAnsi="Times New Roman"/>
                <w:sz w:val="22"/>
                <w:szCs w:val="22"/>
                <w:lang w:val="fr-BE"/>
              </w:rPr>
              <w:t>Ecorç</w:t>
            </w:r>
            <w:r w:rsidRPr="001C0167">
              <w:rPr>
                <w:rFonts w:ascii="Times New Roman" w:hAnsi="Times New Roman"/>
                <w:sz w:val="22"/>
                <w:szCs w:val="22"/>
                <w:lang w:val="fr-BE"/>
              </w:rPr>
              <w:t>oir tranchant</w:t>
            </w:r>
          </w:p>
        </w:tc>
        <w:tc>
          <w:tcPr>
            <w:tcW w:w="897" w:type="dxa"/>
            <w:tcBorders>
              <w:top w:val="nil"/>
              <w:left w:val="nil"/>
              <w:bottom w:val="single" w:sz="8" w:space="0" w:color="auto"/>
              <w:right w:val="single" w:sz="8" w:space="0" w:color="auto"/>
            </w:tcBorders>
            <w:vAlign w:val="center"/>
          </w:tcPr>
          <w:p w14:paraId="36084F56" w14:textId="1D34B01B"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7D859D3" w14:textId="26B53247"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1FAEDB6" w14:textId="1056A53D"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527E34E9" w14:textId="2EEE61E6"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w:t>
            </w:r>
          </w:p>
        </w:tc>
      </w:tr>
      <w:tr w:rsidR="00D44D96" w:rsidRPr="008F3ABB" w14:paraId="7647B084"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AF9D570"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D7DF3CA" w14:textId="6E1BBAD7"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9</w:t>
            </w:r>
          </w:p>
        </w:tc>
        <w:tc>
          <w:tcPr>
            <w:tcW w:w="2080" w:type="dxa"/>
            <w:tcBorders>
              <w:top w:val="nil"/>
              <w:left w:val="single" w:sz="4" w:space="0" w:color="auto"/>
              <w:bottom w:val="single" w:sz="8" w:space="0" w:color="auto"/>
              <w:right w:val="single" w:sz="8" w:space="0" w:color="auto"/>
            </w:tcBorders>
            <w:vAlign w:val="center"/>
          </w:tcPr>
          <w:p w14:paraId="13FE7EE0" w14:textId="38DBCCB5"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Extincteur</w:t>
            </w:r>
          </w:p>
        </w:tc>
        <w:tc>
          <w:tcPr>
            <w:tcW w:w="897" w:type="dxa"/>
            <w:tcBorders>
              <w:top w:val="nil"/>
              <w:left w:val="nil"/>
              <w:bottom w:val="single" w:sz="8" w:space="0" w:color="auto"/>
              <w:right w:val="single" w:sz="8" w:space="0" w:color="auto"/>
            </w:tcBorders>
            <w:vAlign w:val="center"/>
          </w:tcPr>
          <w:p w14:paraId="25561FD5" w14:textId="0954B1FC"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0FFAA7" w14:textId="670DC7A9"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40FD56D" w14:textId="16B18892"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0E7B7AB6" w14:textId="0A2E7200"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4</w:t>
            </w:r>
          </w:p>
        </w:tc>
      </w:tr>
      <w:tr w:rsidR="00D44D96" w:rsidRPr="008F3ABB" w14:paraId="0BD54531"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74BB2FC"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E1E5146" w14:textId="6349064E"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10</w:t>
            </w:r>
          </w:p>
        </w:tc>
        <w:tc>
          <w:tcPr>
            <w:tcW w:w="2080" w:type="dxa"/>
            <w:tcBorders>
              <w:top w:val="nil"/>
              <w:left w:val="single" w:sz="4" w:space="0" w:color="auto"/>
              <w:bottom w:val="single" w:sz="8" w:space="0" w:color="auto"/>
              <w:right w:val="single" w:sz="8" w:space="0" w:color="auto"/>
            </w:tcBorders>
            <w:vAlign w:val="center"/>
          </w:tcPr>
          <w:p w14:paraId="1C20E191" w14:textId="0383D447"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 xml:space="preserve">Paire de Gants </w:t>
            </w:r>
          </w:p>
        </w:tc>
        <w:tc>
          <w:tcPr>
            <w:tcW w:w="897" w:type="dxa"/>
            <w:tcBorders>
              <w:top w:val="nil"/>
              <w:left w:val="nil"/>
              <w:bottom w:val="single" w:sz="8" w:space="0" w:color="auto"/>
              <w:right w:val="single" w:sz="8" w:space="0" w:color="auto"/>
            </w:tcBorders>
            <w:vAlign w:val="center"/>
          </w:tcPr>
          <w:p w14:paraId="347A4A53" w14:textId="113CD08A"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82130A" w14:textId="33D10B47"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3214C02" w14:textId="75AA6C25"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0F6DDFB7" w14:textId="32D81B61"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10</w:t>
            </w:r>
          </w:p>
        </w:tc>
      </w:tr>
      <w:tr w:rsidR="00D44D96" w:rsidRPr="008F3ABB" w14:paraId="2F2255AC"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0FCC2F50"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73FC09E" w14:textId="73735785"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11</w:t>
            </w:r>
          </w:p>
        </w:tc>
        <w:tc>
          <w:tcPr>
            <w:tcW w:w="2080" w:type="dxa"/>
            <w:tcBorders>
              <w:top w:val="nil"/>
              <w:left w:val="single" w:sz="4" w:space="0" w:color="auto"/>
              <w:bottom w:val="single" w:sz="8" w:space="0" w:color="auto"/>
              <w:right w:val="single" w:sz="8" w:space="0" w:color="auto"/>
            </w:tcBorders>
            <w:vAlign w:val="center"/>
          </w:tcPr>
          <w:p w14:paraId="53CD3BD9" w14:textId="2AF17E35"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Grimpette d'élaguer à 2</w:t>
            </w:r>
            <w:r>
              <w:rPr>
                <w:rFonts w:ascii="Times New Roman" w:hAnsi="Times New Roman"/>
                <w:sz w:val="22"/>
                <w:szCs w:val="22"/>
                <w:lang w:val="fr-BE"/>
              </w:rPr>
              <w:t xml:space="preserve"> </w:t>
            </w:r>
            <w:r w:rsidRPr="001C0167">
              <w:rPr>
                <w:rFonts w:ascii="Times New Roman" w:hAnsi="Times New Roman"/>
                <w:sz w:val="22"/>
                <w:szCs w:val="22"/>
                <w:lang w:val="fr-BE"/>
              </w:rPr>
              <w:t>pointes (la paire)</w:t>
            </w:r>
          </w:p>
        </w:tc>
        <w:tc>
          <w:tcPr>
            <w:tcW w:w="897" w:type="dxa"/>
            <w:tcBorders>
              <w:top w:val="nil"/>
              <w:left w:val="nil"/>
              <w:bottom w:val="single" w:sz="8" w:space="0" w:color="auto"/>
              <w:right w:val="single" w:sz="8" w:space="0" w:color="auto"/>
            </w:tcBorders>
            <w:vAlign w:val="center"/>
          </w:tcPr>
          <w:p w14:paraId="037DD47E" w14:textId="6518F641"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D4DA564" w14:textId="2603C0FA"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6CEA8F8" w14:textId="790F0245"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71352269" w14:textId="279F269D"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w:t>
            </w:r>
          </w:p>
        </w:tc>
      </w:tr>
      <w:tr w:rsidR="00D44D96" w:rsidRPr="008F3ABB" w14:paraId="0E733473"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533D75DC"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7DF529C" w14:textId="0D837885"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12</w:t>
            </w:r>
          </w:p>
        </w:tc>
        <w:tc>
          <w:tcPr>
            <w:tcW w:w="2080" w:type="dxa"/>
            <w:tcBorders>
              <w:top w:val="nil"/>
              <w:left w:val="single" w:sz="4" w:space="0" w:color="auto"/>
              <w:bottom w:val="single" w:sz="8" w:space="0" w:color="auto"/>
              <w:right w:val="single" w:sz="8" w:space="0" w:color="auto"/>
            </w:tcBorders>
            <w:vAlign w:val="center"/>
          </w:tcPr>
          <w:p w14:paraId="4D7114C5" w14:textId="4FF1BC1C"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Hache</w:t>
            </w:r>
          </w:p>
        </w:tc>
        <w:tc>
          <w:tcPr>
            <w:tcW w:w="897" w:type="dxa"/>
            <w:tcBorders>
              <w:top w:val="nil"/>
              <w:left w:val="nil"/>
              <w:bottom w:val="single" w:sz="8" w:space="0" w:color="auto"/>
              <w:right w:val="single" w:sz="8" w:space="0" w:color="auto"/>
            </w:tcBorders>
            <w:vAlign w:val="center"/>
          </w:tcPr>
          <w:p w14:paraId="0636AB34" w14:textId="09ABF754"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529100" w14:textId="4FD70DE5"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C91A629" w14:textId="083CFBB6"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0AA041CC" w14:textId="1F992EBA"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10</w:t>
            </w:r>
          </w:p>
        </w:tc>
      </w:tr>
      <w:tr w:rsidR="00D44D96" w:rsidRPr="008F3ABB" w14:paraId="344E0E4D"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4AFDDAA"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9D7C450" w14:textId="02F08496"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13</w:t>
            </w:r>
          </w:p>
        </w:tc>
        <w:tc>
          <w:tcPr>
            <w:tcW w:w="2080" w:type="dxa"/>
            <w:tcBorders>
              <w:top w:val="nil"/>
              <w:left w:val="single" w:sz="4" w:space="0" w:color="auto"/>
              <w:bottom w:val="single" w:sz="8" w:space="0" w:color="auto"/>
              <w:right w:val="single" w:sz="8" w:space="0" w:color="auto"/>
            </w:tcBorders>
            <w:vAlign w:val="center"/>
          </w:tcPr>
          <w:p w14:paraId="0592E6CA" w14:textId="07CA504C"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Jalon</w:t>
            </w:r>
          </w:p>
        </w:tc>
        <w:tc>
          <w:tcPr>
            <w:tcW w:w="897" w:type="dxa"/>
            <w:tcBorders>
              <w:top w:val="nil"/>
              <w:left w:val="nil"/>
              <w:bottom w:val="single" w:sz="8" w:space="0" w:color="auto"/>
              <w:right w:val="single" w:sz="8" w:space="0" w:color="auto"/>
            </w:tcBorders>
            <w:vAlign w:val="center"/>
          </w:tcPr>
          <w:p w14:paraId="6FAC8FEC" w14:textId="253C1195"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1A47F2" w14:textId="26912FB7"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46E873" w14:textId="2AE0349B"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5450864D" w14:textId="52A2594E"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25</w:t>
            </w:r>
          </w:p>
        </w:tc>
      </w:tr>
      <w:tr w:rsidR="00D44D96" w:rsidRPr="008F3ABB" w14:paraId="54E18A1A"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3852289"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458AAA86" w14:textId="090A7A44"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14</w:t>
            </w:r>
          </w:p>
        </w:tc>
        <w:tc>
          <w:tcPr>
            <w:tcW w:w="2080" w:type="dxa"/>
            <w:tcBorders>
              <w:top w:val="nil"/>
              <w:left w:val="single" w:sz="4" w:space="0" w:color="auto"/>
              <w:bottom w:val="single" w:sz="8" w:space="0" w:color="auto"/>
              <w:right w:val="single" w:sz="8" w:space="0" w:color="auto"/>
            </w:tcBorders>
            <w:vAlign w:val="center"/>
          </w:tcPr>
          <w:p w14:paraId="73BCBED4" w14:textId="77772A14"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Jumelle</w:t>
            </w:r>
          </w:p>
        </w:tc>
        <w:tc>
          <w:tcPr>
            <w:tcW w:w="897" w:type="dxa"/>
            <w:tcBorders>
              <w:top w:val="nil"/>
              <w:left w:val="nil"/>
              <w:bottom w:val="single" w:sz="8" w:space="0" w:color="auto"/>
              <w:right w:val="single" w:sz="8" w:space="0" w:color="auto"/>
            </w:tcBorders>
            <w:vAlign w:val="center"/>
          </w:tcPr>
          <w:p w14:paraId="2AF1B74A" w14:textId="0C7B4039"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611577E" w14:textId="764EEFD4"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2564CCC" w14:textId="4D5389D5"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33CD07A6" w14:textId="3948E6F8"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w:t>
            </w:r>
          </w:p>
        </w:tc>
      </w:tr>
      <w:tr w:rsidR="00D44D96" w:rsidRPr="008F3ABB" w14:paraId="43C94D5B"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B7BFA88"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E47339D" w14:textId="35E3F93A"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15</w:t>
            </w:r>
          </w:p>
        </w:tc>
        <w:tc>
          <w:tcPr>
            <w:tcW w:w="2080" w:type="dxa"/>
            <w:tcBorders>
              <w:top w:val="nil"/>
              <w:left w:val="single" w:sz="4" w:space="0" w:color="auto"/>
              <w:bottom w:val="single" w:sz="8" w:space="0" w:color="auto"/>
              <w:right w:val="single" w:sz="8" w:space="0" w:color="auto"/>
            </w:tcBorders>
            <w:vAlign w:val="center"/>
          </w:tcPr>
          <w:p w14:paraId="5C93B96B" w14:textId="05DCEA09"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Loupe manuelle</w:t>
            </w:r>
          </w:p>
        </w:tc>
        <w:tc>
          <w:tcPr>
            <w:tcW w:w="897" w:type="dxa"/>
            <w:tcBorders>
              <w:top w:val="nil"/>
              <w:left w:val="nil"/>
              <w:bottom w:val="single" w:sz="8" w:space="0" w:color="auto"/>
              <w:right w:val="single" w:sz="8" w:space="0" w:color="auto"/>
            </w:tcBorders>
            <w:vAlign w:val="center"/>
          </w:tcPr>
          <w:p w14:paraId="2A3D1E3B" w14:textId="6F5B7BEF"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BD878B" w14:textId="18DB86EC"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3058542" w14:textId="38D3DDB5"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15D623CC" w14:textId="3CD18592"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25</w:t>
            </w:r>
          </w:p>
        </w:tc>
      </w:tr>
      <w:tr w:rsidR="00D44D96" w:rsidRPr="008F3ABB" w14:paraId="6EE3C95F"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15B327F"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2AD04B5" w14:textId="070B0515"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16</w:t>
            </w:r>
          </w:p>
        </w:tc>
        <w:tc>
          <w:tcPr>
            <w:tcW w:w="2080" w:type="dxa"/>
            <w:tcBorders>
              <w:top w:val="nil"/>
              <w:left w:val="single" w:sz="4" w:space="0" w:color="auto"/>
              <w:bottom w:val="single" w:sz="8" w:space="0" w:color="auto"/>
              <w:right w:val="single" w:sz="8" w:space="0" w:color="auto"/>
            </w:tcBorders>
            <w:vAlign w:val="center"/>
          </w:tcPr>
          <w:p w14:paraId="229A740A" w14:textId="4CCEB7BE"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Lunette de sécurité</w:t>
            </w:r>
          </w:p>
        </w:tc>
        <w:tc>
          <w:tcPr>
            <w:tcW w:w="897" w:type="dxa"/>
            <w:tcBorders>
              <w:top w:val="nil"/>
              <w:left w:val="nil"/>
              <w:bottom w:val="single" w:sz="8" w:space="0" w:color="auto"/>
              <w:right w:val="single" w:sz="8" w:space="0" w:color="auto"/>
            </w:tcBorders>
            <w:vAlign w:val="center"/>
          </w:tcPr>
          <w:p w14:paraId="1A6266C5" w14:textId="07BA1C30"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0D63D0" w14:textId="32ED37A8"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8BB1102" w14:textId="517CE5C5"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7B884986" w14:textId="4CFE04D6"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25</w:t>
            </w:r>
          </w:p>
        </w:tc>
      </w:tr>
      <w:tr w:rsidR="00D44D96" w:rsidRPr="008F3ABB" w14:paraId="4E20E3A4"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3B12A43"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EAF23C8" w14:textId="316BC7F2"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17</w:t>
            </w:r>
          </w:p>
        </w:tc>
        <w:tc>
          <w:tcPr>
            <w:tcW w:w="2080" w:type="dxa"/>
            <w:tcBorders>
              <w:top w:val="nil"/>
              <w:left w:val="single" w:sz="4" w:space="0" w:color="auto"/>
              <w:bottom w:val="single" w:sz="8" w:space="0" w:color="auto"/>
              <w:right w:val="single" w:sz="8" w:space="0" w:color="auto"/>
            </w:tcBorders>
            <w:vAlign w:val="center"/>
          </w:tcPr>
          <w:p w14:paraId="0FFC8886" w14:textId="0EE2532D"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Perche télescopique</w:t>
            </w:r>
          </w:p>
        </w:tc>
        <w:tc>
          <w:tcPr>
            <w:tcW w:w="897" w:type="dxa"/>
            <w:tcBorders>
              <w:top w:val="nil"/>
              <w:left w:val="nil"/>
              <w:bottom w:val="single" w:sz="8" w:space="0" w:color="auto"/>
              <w:right w:val="single" w:sz="8" w:space="0" w:color="auto"/>
            </w:tcBorders>
            <w:vAlign w:val="center"/>
          </w:tcPr>
          <w:p w14:paraId="660E407D" w14:textId="74A3EA0E"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CCE402" w14:textId="3F87AA2E"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E541073" w14:textId="52988AF7"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4A07B896" w14:textId="480C5491"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w:t>
            </w:r>
          </w:p>
        </w:tc>
      </w:tr>
      <w:tr w:rsidR="00D44D96" w:rsidRPr="008F3ABB" w14:paraId="58282CC8"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5EC9DDD2"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14FB9EE" w14:textId="1B9DAB09"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18</w:t>
            </w:r>
          </w:p>
        </w:tc>
        <w:tc>
          <w:tcPr>
            <w:tcW w:w="2080" w:type="dxa"/>
            <w:tcBorders>
              <w:top w:val="nil"/>
              <w:left w:val="single" w:sz="4" w:space="0" w:color="auto"/>
              <w:bottom w:val="single" w:sz="8" w:space="0" w:color="auto"/>
              <w:right w:val="single" w:sz="8" w:space="0" w:color="auto"/>
            </w:tcBorders>
            <w:vAlign w:val="center"/>
          </w:tcPr>
          <w:p w14:paraId="6A9C7D81" w14:textId="0AB728E7"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Pied à coulisse avec graduation</w:t>
            </w:r>
          </w:p>
        </w:tc>
        <w:tc>
          <w:tcPr>
            <w:tcW w:w="897" w:type="dxa"/>
            <w:tcBorders>
              <w:top w:val="nil"/>
              <w:left w:val="nil"/>
              <w:bottom w:val="single" w:sz="8" w:space="0" w:color="auto"/>
              <w:right w:val="single" w:sz="8" w:space="0" w:color="auto"/>
            </w:tcBorders>
            <w:vAlign w:val="center"/>
          </w:tcPr>
          <w:p w14:paraId="1087B7DA" w14:textId="4F57046F"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A4DA0C" w14:textId="411800EB"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C4DCC82" w14:textId="50E81362"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7FAB825F" w14:textId="1C151BD0"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w:t>
            </w:r>
          </w:p>
        </w:tc>
      </w:tr>
      <w:tr w:rsidR="00D44D96" w:rsidRPr="008F3ABB" w14:paraId="0C81B62B"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84ACB80"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86DB4FC" w14:textId="2FA8D4F9"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19</w:t>
            </w:r>
          </w:p>
        </w:tc>
        <w:tc>
          <w:tcPr>
            <w:tcW w:w="2080" w:type="dxa"/>
            <w:tcBorders>
              <w:top w:val="nil"/>
              <w:left w:val="single" w:sz="4" w:space="0" w:color="auto"/>
              <w:bottom w:val="single" w:sz="8" w:space="0" w:color="auto"/>
              <w:right w:val="single" w:sz="8" w:space="0" w:color="auto"/>
            </w:tcBorders>
            <w:vAlign w:val="center"/>
          </w:tcPr>
          <w:p w14:paraId="73C4E5F6" w14:textId="7AFF30FD"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 xml:space="preserve">Presse herbier </w:t>
            </w:r>
          </w:p>
        </w:tc>
        <w:tc>
          <w:tcPr>
            <w:tcW w:w="897" w:type="dxa"/>
            <w:tcBorders>
              <w:top w:val="nil"/>
              <w:left w:val="nil"/>
              <w:bottom w:val="single" w:sz="8" w:space="0" w:color="auto"/>
              <w:right w:val="single" w:sz="8" w:space="0" w:color="auto"/>
            </w:tcBorders>
            <w:vAlign w:val="center"/>
          </w:tcPr>
          <w:p w14:paraId="63B6F3F8" w14:textId="5851FF26"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CBA569E" w14:textId="723C7289"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399F053" w14:textId="1402ED1B"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13A55C9F" w14:textId="70D8CBEF"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50</w:t>
            </w:r>
          </w:p>
        </w:tc>
      </w:tr>
      <w:tr w:rsidR="00D44D96" w:rsidRPr="008F3ABB" w14:paraId="1A28EAB2"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7363E13"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6F8506C" w14:textId="2B0766A1"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20</w:t>
            </w:r>
          </w:p>
        </w:tc>
        <w:tc>
          <w:tcPr>
            <w:tcW w:w="2080" w:type="dxa"/>
            <w:tcBorders>
              <w:top w:val="nil"/>
              <w:left w:val="single" w:sz="4" w:space="0" w:color="auto"/>
              <w:bottom w:val="single" w:sz="8" w:space="0" w:color="auto"/>
              <w:right w:val="single" w:sz="8" w:space="0" w:color="auto"/>
            </w:tcBorders>
            <w:vAlign w:val="center"/>
          </w:tcPr>
          <w:p w14:paraId="1F31F9D5" w14:textId="55F8E6C2"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Scie passe partout</w:t>
            </w:r>
          </w:p>
        </w:tc>
        <w:tc>
          <w:tcPr>
            <w:tcW w:w="897" w:type="dxa"/>
            <w:tcBorders>
              <w:top w:val="nil"/>
              <w:left w:val="nil"/>
              <w:bottom w:val="single" w:sz="8" w:space="0" w:color="auto"/>
              <w:right w:val="single" w:sz="8" w:space="0" w:color="auto"/>
            </w:tcBorders>
            <w:vAlign w:val="center"/>
          </w:tcPr>
          <w:p w14:paraId="5B4A1580" w14:textId="5CB63310"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427C763" w14:textId="4F4ED7AF"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518EC6B" w14:textId="1EB53B3A"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68329B56" w14:textId="481473B4"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10</w:t>
            </w:r>
          </w:p>
        </w:tc>
      </w:tr>
      <w:tr w:rsidR="00D44D96" w:rsidRPr="008F3ABB" w14:paraId="32415A61"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EC06C08"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6FD3FAE" w14:textId="48B98A20"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21</w:t>
            </w:r>
          </w:p>
        </w:tc>
        <w:tc>
          <w:tcPr>
            <w:tcW w:w="2080" w:type="dxa"/>
            <w:tcBorders>
              <w:top w:val="nil"/>
              <w:left w:val="single" w:sz="4" w:space="0" w:color="auto"/>
              <w:bottom w:val="single" w:sz="8" w:space="0" w:color="auto"/>
              <w:right w:val="single" w:sz="8" w:space="0" w:color="auto"/>
            </w:tcBorders>
            <w:vAlign w:val="center"/>
          </w:tcPr>
          <w:p w14:paraId="5C80C8B5" w14:textId="10F4CBD0"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Serpe</w:t>
            </w:r>
          </w:p>
        </w:tc>
        <w:tc>
          <w:tcPr>
            <w:tcW w:w="897" w:type="dxa"/>
            <w:tcBorders>
              <w:top w:val="nil"/>
              <w:left w:val="nil"/>
              <w:bottom w:val="single" w:sz="8" w:space="0" w:color="auto"/>
              <w:right w:val="single" w:sz="8" w:space="0" w:color="auto"/>
            </w:tcBorders>
            <w:vAlign w:val="center"/>
          </w:tcPr>
          <w:p w14:paraId="53A0A111" w14:textId="54D1D9FB"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44FF6CC" w14:textId="29ADF411"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ABBBFFC" w14:textId="1178FB68"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2FC0F227" w14:textId="53A79F2D"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w:t>
            </w:r>
          </w:p>
        </w:tc>
      </w:tr>
      <w:tr w:rsidR="00D44D96" w:rsidRPr="008F3ABB" w14:paraId="7A6607BE"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0350F03"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5E8D9C69" w14:textId="1A3BAA67"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22</w:t>
            </w:r>
          </w:p>
        </w:tc>
        <w:tc>
          <w:tcPr>
            <w:tcW w:w="2080" w:type="dxa"/>
            <w:tcBorders>
              <w:top w:val="nil"/>
              <w:left w:val="single" w:sz="4" w:space="0" w:color="auto"/>
              <w:bottom w:val="single" w:sz="8" w:space="0" w:color="auto"/>
              <w:right w:val="single" w:sz="8" w:space="0" w:color="auto"/>
            </w:tcBorders>
            <w:vAlign w:val="center"/>
          </w:tcPr>
          <w:p w14:paraId="79B65C6E" w14:textId="7E0501F6"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Tire-fort</w:t>
            </w:r>
          </w:p>
        </w:tc>
        <w:tc>
          <w:tcPr>
            <w:tcW w:w="897" w:type="dxa"/>
            <w:tcBorders>
              <w:top w:val="nil"/>
              <w:left w:val="nil"/>
              <w:bottom w:val="single" w:sz="8" w:space="0" w:color="auto"/>
              <w:right w:val="single" w:sz="8" w:space="0" w:color="auto"/>
            </w:tcBorders>
            <w:vAlign w:val="center"/>
          </w:tcPr>
          <w:p w14:paraId="6404E491" w14:textId="11A464FA"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C16B37" w14:textId="69518657"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93ADCF8" w14:textId="779BB555"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423BF494" w14:textId="60925291"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w:t>
            </w:r>
          </w:p>
        </w:tc>
      </w:tr>
      <w:tr w:rsidR="00D44D96" w:rsidRPr="008F3ABB" w14:paraId="6E8E90A6"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7440FD7"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492082D9" w14:textId="212944B0"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23</w:t>
            </w:r>
          </w:p>
        </w:tc>
        <w:tc>
          <w:tcPr>
            <w:tcW w:w="2080" w:type="dxa"/>
            <w:tcBorders>
              <w:top w:val="nil"/>
              <w:left w:val="single" w:sz="4" w:space="0" w:color="auto"/>
              <w:bottom w:val="single" w:sz="8" w:space="0" w:color="auto"/>
              <w:right w:val="single" w:sz="8" w:space="0" w:color="auto"/>
            </w:tcBorders>
            <w:vAlign w:val="center"/>
          </w:tcPr>
          <w:p w14:paraId="7F488D34" w14:textId="473CD367"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Tronçonneuse</w:t>
            </w:r>
          </w:p>
        </w:tc>
        <w:tc>
          <w:tcPr>
            <w:tcW w:w="897" w:type="dxa"/>
            <w:tcBorders>
              <w:top w:val="nil"/>
              <w:left w:val="nil"/>
              <w:bottom w:val="single" w:sz="8" w:space="0" w:color="auto"/>
              <w:right w:val="single" w:sz="8" w:space="0" w:color="auto"/>
            </w:tcBorders>
            <w:vAlign w:val="center"/>
          </w:tcPr>
          <w:p w14:paraId="1D5E03F2" w14:textId="6AC288C9"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CA1EBA" w14:textId="2B887624"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70987CE" w14:textId="2D290B16"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43ABD98E" w14:textId="687680FB"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w:t>
            </w:r>
          </w:p>
        </w:tc>
      </w:tr>
      <w:tr w:rsidR="00D44D96" w:rsidRPr="008F3ABB" w14:paraId="12877A2E"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E501B13"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22BA1F7" w14:textId="0386EA7E"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24</w:t>
            </w:r>
          </w:p>
        </w:tc>
        <w:tc>
          <w:tcPr>
            <w:tcW w:w="2080" w:type="dxa"/>
            <w:tcBorders>
              <w:top w:val="nil"/>
              <w:left w:val="single" w:sz="4" w:space="0" w:color="auto"/>
              <w:bottom w:val="single" w:sz="8" w:space="0" w:color="auto"/>
              <w:right w:val="single" w:sz="8" w:space="0" w:color="auto"/>
            </w:tcBorders>
            <w:vAlign w:val="center"/>
          </w:tcPr>
          <w:p w14:paraId="2EF13029" w14:textId="69DE8F9B"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Echenilloir avec rallonge</w:t>
            </w:r>
          </w:p>
        </w:tc>
        <w:tc>
          <w:tcPr>
            <w:tcW w:w="897" w:type="dxa"/>
            <w:tcBorders>
              <w:top w:val="nil"/>
              <w:left w:val="nil"/>
              <w:bottom w:val="single" w:sz="8" w:space="0" w:color="auto"/>
              <w:right w:val="single" w:sz="8" w:space="0" w:color="auto"/>
            </w:tcBorders>
            <w:vAlign w:val="center"/>
          </w:tcPr>
          <w:p w14:paraId="75D16DE8" w14:textId="4406692D"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E725563" w14:textId="1A9B13D3"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342BDC4" w14:textId="4A544E68"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3276B2FD" w14:textId="253F0423"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8</w:t>
            </w:r>
          </w:p>
        </w:tc>
      </w:tr>
      <w:tr w:rsidR="00D44D96" w:rsidRPr="008F3ABB" w14:paraId="30059629"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266F6C6"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315EF61" w14:textId="1A38111E"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25</w:t>
            </w:r>
          </w:p>
        </w:tc>
        <w:tc>
          <w:tcPr>
            <w:tcW w:w="2080" w:type="dxa"/>
            <w:tcBorders>
              <w:top w:val="nil"/>
              <w:left w:val="single" w:sz="4" w:space="0" w:color="auto"/>
              <w:bottom w:val="single" w:sz="8" w:space="0" w:color="auto"/>
              <w:right w:val="single" w:sz="8" w:space="0" w:color="auto"/>
            </w:tcBorders>
            <w:vAlign w:val="center"/>
          </w:tcPr>
          <w:p w14:paraId="2B8D5A58" w14:textId="73F55D46"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Sacs de récoltes de capacité 150 kg</w:t>
            </w:r>
          </w:p>
        </w:tc>
        <w:tc>
          <w:tcPr>
            <w:tcW w:w="897" w:type="dxa"/>
            <w:tcBorders>
              <w:top w:val="nil"/>
              <w:left w:val="nil"/>
              <w:bottom w:val="single" w:sz="8" w:space="0" w:color="auto"/>
              <w:right w:val="single" w:sz="8" w:space="0" w:color="auto"/>
            </w:tcBorders>
            <w:vAlign w:val="center"/>
          </w:tcPr>
          <w:p w14:paraId="68CFB06B" w14:textId="44FDBB3D"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AFD988" w14:textId="1F50D3EF"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F38F606" w14:textId="7ADF3DBB"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3742FFD3" w14:textId="7D8E7C37"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200</w:t>
            </w:r>
          </w:p>
        </w:tc>
      </w:tr>
      <w:tr w:rsidR="00D44D96" w:rsidRPr="008F3ABB" w14:paraId="0C379049"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15E746A"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FA4F852" w14:textId="27083B2B"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26</w:t>
            </w:r>
          </w:p>
        </w:tc>
        <w:tc>
          <w:tcPr>
            <w:tcW w:w="2080" w:type="dxa"/>
            <w:tcBorders>
              <w:top w:val="nil"/>
              <w:left w:val="single" w:sz="4" w:space="0" w:color="auto"/>
              <w:bottom w:val="single" w:sz="8" w:space="0" w:color="auto"/>
              <w:right w:val="single" w:sz="8" w:space="0" w:color="auto"/>
            </w:tcBorders>
            <w:vAlign w:val="center"/>
          </w:tcPr>
          <w:p w14:paraId="76D75E9E" w14:textId="01D2BA77"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Sacs de récoltes de capacité 200 kg</w:t>
            </w:r>
          </w:p>
        </w:tc>
        <w:tc>
          <w:tcPr>
            <w:tcW w:w="897" w:type="dxa"/>
            <w:tcBorders>
              <w:top w:val="nil"/>
              <w:left w:val="nil"/>
              <w:bottom w:val="single" w:sz="8" w:space="0" w:color="auto"/>
              <w:right w:val="single" w:sz="8" w:space="0" w:color="auto"/>
            </w:tcBorders>
            <w:vAlign w:val="center"/>
          </w:tcPr>
          <w:p w14:paraId="3F55C4EA" w14:textId="5504EF79"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70260A" w14:textId="61501AD4"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1703016" w14:textId="5922266F"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27F1AFC2" w14:textId="5E405173"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200</w:t>
            </w:r>
          </w:p>
        </w:tc>
      </w:tr>
      <w:tr w:rsidR="00D44D96" w:rsidRPr="008F3ABB" w14:paraId="3B9A454E"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AA6F6FE"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25E4A24" w14:textId="0C48128B"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27</w:t>
            </w:r>
          </w:p>
        </w:tc>
        <w:tc>
          <w:tcPr>
            <w:tcW w:w="2080" w:type="dxa"/>
            <w:tcBorders>
              <w:top w:val="nil"/>
              <w:left w:val="single" w:sz="4" w:space="0" w:color="auto"/>
              <w:bottom w:val="single" w:sz="8" w:space="0" w:color="auto"/>
              <w:right w:val="single" w:sz="8" w:space="0" w:color="auto"/>
            </w:tcBorders>
            <w:vAlign w:val="center"/>
          </w:tcPr>
          <w:p w14:paraId="764EEEB6" w14:textId="43FC1186"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Sacs de récoltes de capacité 250 kg</w:t>
            </w:r>
          </w:p>
        </w:tc>
        <w:tc>
          <w:tcPr>
            <w:tcW w:w="897" w:type="dxa"/>
            <w:tcBorders>
              <w:top w:val="nil"/>
              <w:left w:val="nil"/>
              <w:bottom w:val="single" w:sz="8" w:space="0" w:color="auto"/>
              <w:right w:val="single" w:sz="8" w:space="0" w:color="auto"/>
            </w:tcBorders>
            <w:vAlign w:val="center"/>
          </w:tcPr>
          <w:p w14:paraId="4D28BFB1" w14:textId="3963C668"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4ED8B8" w14:textId="0E294DFD"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EDCE880" w14:textId="61A19855"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7BD078A6" w14:textId="64819233"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200</w:t>
            </w:r>
          </w:p>
        </w:tc>
      </w:tr>
      <w:tr w:rsidR="00D44D96" w:rsidRPr="008F3ABB" w14:paraId="50B80A99"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8619C27"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43B03D57" w14:textId="383926E6"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28</w:t>
            </w:r>
          </w:p>
        </w:tc>
        <w:tc>
          <w:tcPr>
            <w:tcW w:w="2080" w:type="dxa"/>
            <w:tcBorders>
              <w:top w:val="nil"/>
              <w:left w:val="single" w:sz="4" w:space="0" w:color="auto"/>
              <w:bottom w:val="single" w:sz="8" w:space="0" w:color="auto"/>
              <w:right w:val="single" w:sz="8" w:space="0" w:color="auto"/>
            </w:tcBorders>
            <w:vAlign w:val="center"/>
          </w:tcPr>
          <w:p w14:paraId="5B2DFCC8" w14:textId="03961F53"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Sacs en toile de jute naturelle</w:t>
            </w:r>
          </w:p>
        </w:tc>
        <w:tc>
          <w:tcPr>
            <w:tcW w:w="897" w:type="dxa"/>
            <w:tcBorders>
              <w:top w:val="nil"/>
              <w:left w:val="nil"/>
              <w:bottom w:val="single" w:sz="8" w:space="0" w:color="auto"/>
              <w:right w:val="single" w:sz="8" w:space="0" w:color="auto"/>
            </w:tcBorders>
            <w:vAlign w:val="center"/>
          </w:tcPr>
          <w:p w14:paraId="0E477E1E" w14:textId="43BF4844"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400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BE093B" w14:textId="0F5DE247"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0750F74" w14:textId="1FBE78C4"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25DE81A6" w14:textId="59D29E2B"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400</w:t>
            </w:r>
          </w:p>
        </w:tc>
      </w:tr>
      <w:tr w:rsidR="00D44D96" w:rsidRPr="008F3ABB" w14:paraId="7DB949C1"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F7B6FF1"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D823AA7" w14:textId="313C577E"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29</w:t>
            </w:r>
          </w:p>
        </w:tc>
        <w:tc>
          <w:tcPr>
            <w:tcW w:w="2080" w:type="dxa"/>
            <w:tcBorders>
              <w:top w:val="nil"/>
              <w:left w:val="single" w:sz="4" w:space="0" w:color="auto"/>
              <w:bottom w:val="single" w:sz="8" w:space="0" w:color="auto"/>
              <w:right w:val="single" w:sz="8" w:space="0" w:color="auto"/>
            </w:tcBorders>
            <w:vAlign w:val="center"/>
          </w:tcPr>
          <w:p w14:paraId="08110B2A" w14:textId="72F55A48"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Sécateur</w:t>
            </w:r>
          </w:p>
        </w:tc>
        <w:tc>
          <w:tcPr>
            <w:tcW w:w="897" w:type="dxa"/>
            <w:tcBorders>
              <w:top w:val="nil"/>
              <w:left w:val="nil"/>
              <w:bottom w:val="single" w:sz="8" w:space="0" w:color="auto"/>
              <w:right w:val="single" w:sz="8" w:space="0" w:color="auto"/>
            </w:tcBorders>
            <w:vAlign w:val="center"/>
          </w:tcPr>
          <w:p w14:paraId="10E5EC5A" w14:textId="1C44334B"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A904F9" w14:textId="692BA8CE"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2309AD9" w14:textId="4AF7CA1E"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4DB1613B" w14:textId="000ACA31"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20</w:t>
            </w:r>
          </w:p>
        </w:tc>
      </w:tr>
      <w:tr w:rsidR="00D44D96" w:rsidRPr="008F3ABB" w14:paraId="4F405B78"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CA98676"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E980DA6" w14:textId="4995705F"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30</w:t>
            </w:r>
          </w:p>
        </w:tc>
        <w:tc>
          <w:tcPr>
            <w:tcW w:w="2080" w:type="dxa"/>
            <w:tcBorders>
              <w:top w:val="nil"/>
              <w:left w:val="single" w:sz="4" w:space="0" w:color="auto"/>
              <w:bottom w:val="single" w:sz="8" w:space="0" w:color="auto"/>
              <w:right w:val="single" w:sz="8" w:space="0" w:color="auto"/>
            </w:tcBorders>
            <w:vAlign w:val="center"/>
          </w:tcPr>
          <w:p w14:paraId="1A50564D" w14:textId="0504BBDD"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 xml:space="preserve">Jumelle </w:t>
            </w:r>
          </w:p>
        </w:tc>
        <w:tc>
          <w:tcPr>
            <w:tcW w:w="897" w:type="dxa"/>
            <w:tcBorders>
              <w:top w:val="nil"/>
              <w:left w:val="nil"/>
              <w:bottom w:val="single" w:sz="8" w:space="0" w:color="auto"/>
              <w:right w:val="single" w:sz="8" w:space="0" w:color="auto"/>
            </w:tcBorders>
            <w:vAlign w:val="center"/>
          </w:tcPr>
          <w:p w14:paraId="170B75E8" w14:textId="7F708EDF"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DB70605" w14:textId="1F11AE3A"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16EC542" w14:textId="0455ABEF"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71924DD7" w14:textId="38FB62DD"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6</w:t>
            </w:r>
          </w:p>
        </w:tc>
      </w:tr>
      <w:tr w:rsidR="00D44D96" w:rsidRPr="008F3ABB" w14:paraId="28D084CE"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301DAEA"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938386C" w14:textId="21A7CE7A"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31</w:t>
            </w:r>
          </w:p>
        </w:tc>
        <w:tc>
          <w:tcPr>
            <w:tcW w:w="2080" w:type="dxa"/>
            <w:tcBorders>
              <w:top w:val="nil"/>
              <w:left w:val="single" w:sz="4" w:space="0" w:color="auto"/>
              <w:bottom w:val="single" w:sz="8" w:space="0" w:color="auto"/>
              <w:right w:val="single" w:sz="8" w:space="0" w:color="auto"/>
            </w:tcBorders>
            <w:vAlign w:val="center"/>
          </w:tcPr>
          <w:p w14:paraId="6CD952FC" w14:textId="3DA8D2D8"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Combinaison taille L</w:t>
            </w:r>
          </w:p>
        </w:tc>
        <w:tc>
          <w:tcPr>
            <w:tcW w:w="897" w:type="dxa"/>
            <w:tcBorders>
              <w:top w:val="nil"/>
              <w:left w:val="nil"/>
              <w:bottom w:val="single" w:sz="8" w:space="0" w:color="auto"/>
              <w:right w:val="single" w:sz="8" w:space="0" w:color="auto"/>
            </w:tcBorders>
            <w:vAlign w:val="center"/>
          </w:tcPr>
          <w:p w14:paraId="68517FE3" w14:textId="1C25FDEB"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9A40880" w14:textId="65B1A087"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4E6D298" w14:textId="6A68376D"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6629DE9E" w14:textId="1F0C8072"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12</w:t>
            </w:r>
          </w:p>
        </w:tc>
      </w:tr>
      <w:tr w:rsidR="00D44D96" w:rsidRPr="008F3ABB" w14:paraId="43165FD5"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283894F"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B37778F" w14:textId="10AD8EF9"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32</w:t>
            </w:r>
          </w:p>
        </w:tc>
        <w:tc>
          <w:tcPr>
            <w:tcW w:w="2080" w:type="dxa"/>
            <w:tcBorders>
              <w:top w:val="nil"/>
              <w:left w:val="single" w:sz="4" w:space="0" w:color="auto"/>
              <w:bottom w:val="single" w:sz="8" w:space="0" w:color="auto"/>
              <w:right w:val="single" w:sz="8" w:space="0" w:color="auto"/>
            </w:tcBorders>
            <w:vAlign w:val="center"/>
          </w:tcPr>
          <w:p w14:paraId="49F29D50" w14:textId="6D52AC83"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Combinaison taille XL</w:t>
            </w:r>
          </w:p>
        </w:tc>
        <w:tc>
          <w:tcPr>
            <w:tcW w:w="897" w:type="dxa"/>
            <w:tcBorders>
              <w:top w:val="nil"/>
              <w:left w:val="nil"/>
              <w:bottom w:val="single" w:sz="8" w:space="0" w:color="auto"/>
              <w:right w:val="single" w:sz="8" w:space="0" w:color="auto"/>
            </w:tcBorders>
            <w:vAlign w:val="center"/>
          </w:tcPr>
          <w:p w14:paraId="7B89E358" w14:textId="788AF26A"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E3ACA3" w14:textId="3B234F60"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062EB38" w14:textId="54A8FC9A"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6DE67C83" w14:textId="3DA85375"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20</w:t>
            </w:r>
          </w:p>
        </w:tc>
      </w:tr>
      <w:tr w:rsidR="00D44D96" w:rsidRPr="008F3ABB" w14:paraId="58ACE3B7"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D6E966D"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68DA93F" w14:textId="17B1176D"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33</w:t>
            </w:r>
          </w:p>
        </w:tc>
        <w:tc>
          <w:tcPr>
            <w:tcW w:w="2080" w:type="dxa"/>
            <w:tcBorders>
              <w:top w:val="nil"/>
              <w:left w:val="single" w:sz="4" w:space="0" w:color="auto"/>
              <w:bottom w:val="single" w:sz="8" w:space="0" w:color="auto"/>
              <w:right w:val="single" w:sz="8" w:space="0" w:color="auto"/>
            </w:tcBorders>
            <w:vAlign w:val="center"/>
          </w:tcPr>
          <w:p w14:paraId="03A27A9B" w14:textId="7FDC718F"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Combinaison taille XXL</w:t>
            </w:r>
          </w:p>
        </w:tc>
        <w:tc>
          <w:tcPr>
            <w:tcW w:w="897" w:type="dxa"/>
            <w:tcBorders>
              <w:top w:val="nil"/>
              <w:left w:val="nil"/>
              <w:bottom w:val="single" w:sz="8" w:space="0" w:color="auto"/>
              <w:right w:val="single" w:sz="8" w:space="0" w:color="auto"/>
            </w:tcBorders>
            <w:vAlign w:val="center"/>
          </w:tcPr>
          <w:p w14:paraId="0B463FF0" w14:textId="0582C8BE"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10F936F" w14:textId="71EF7AE8"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97DA78" w14:textId="0B4B03C1"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75A522EE" w14:textId="7D967243"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8</w:t>
            </w:r>
          </w:p>
        </w:tc>
      </w:tr>
      <w:tr w:rsidR="00D44D96" w:rsidRPr="008F3ABB" w14:paraId="6393C579"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BA8C6D5"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4E0D40A" w14:textId="46FD674C"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34</w:t>
            </w:r>
          </w:p>
        </w:tc>
        <w:tc>
          <w:tcPr>
            <w:tcW w:w="2080" w:type="dxa"/>
            <w:tcBorders>
              <w:top w:val="nil"/>
              <w:left w:val="single" w:sz="4" w:space="0" w:color="auto"/>
              <w:bottom w:val="single" w:sz="8" w:space="0" w:color="auto"/>
              <w:right w:val="single" w:sz="8" w:space="0" w:color="auto"/>
            </w:tcBorders>
            <w:vAlign w:val="center"/>
          </w:tcPr>
          <w:p w14:paraId="10334473" w14:textId="02709B44" w:rsidR="00D44D96" w:rsidRPr="00210523" w:rsidRDefault="00D44D96" w:rsidP="00BC12DC">
            <w:pPr>
              <w:rPr>
                <w:rFonts w:ascii="Times New Roman" w:hAnsi="Times New Roman"/>
                <w:bCs/>
                <w:sz w:val="24"/>
                <w:szCs w:val="24"/>
                <w:lang w:val="fr-BE" w:eastAsia="fr-FR" w:bidi="fr-FR"/>
              </w:rPr>
            </w:pPr>
            <w:r w:rsidRPr="00A50DEC">
              <w:rPr>
                <w:rFonts w:ascii="Times New Roman" w:hAnsi="Times New Roman"/>
                <w:bCs/>
                <w:sz w:val="22"/>
                <w:szCs w:val="22"/>
                <w:lang w:val="fr-BE"/>
              </w:rPr>
              <w:t>Paire de</w:t>
            </w:r>
            <w:r w:rsidRPr="001C0167">
              <w:rPr>
                <w:rFonts w:ascii="Times New Roman" w:hAnsi="Times New Roman"/>
                <w:b/>
                <w:bCs/>
                <w:sz w:val="22"/>
                <w:szCs w:val="22"/>
                <w:lang w:val="fr-BE"/>
              </w:rPr>
              <w:t xml:space="preserve"> </w:t>
            </w:r>
            <w:r w:rsidRPr="001C0167">
              <w:rPr>
                <w:rFonts w:ascii="Times New Roman" w:hAnsi="Times New Roman"/>
                <w:sz w:val="22"/>
                <w:szCs w:val="22"/>
                <w:lang w:val="fr-BE"/>
              </w:rPr>
              <w:t xml:space="preserve">Bottes en caoutchouc pointure 41 </w:t>
            </w:r>
          </w:p>
        </w:tc>
        <w:tc>
          <w:tcPr>
            <w:tcW w:w="897" w:type="dxa"/>
            <w:tcBorders>
              <w:top w:val="nil"/>
              <w:left w:val="nil"/>
              <w:bottom w:val="single" w:sz="8" w:space="0" w:color="auto"/>
              <w:right w:val="single" w:sz="8" w:space="0" w:color="auto"/>
            </w:tcBorders>
            <w:vAlign w:val="center"/>
          </w:tcPr>
          <w:p w14:paraId="19D5A7D4" w14:textId="055BDACC"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4941E66" w14:textId="57DBC520"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15EF33E" w14:textId="25263771"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22A6503E" w14:textId="0FAA6E7A"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10</w:t>
            </w:r>
          </w:p>
        </w:tc>
      </w:tr>
      <w:tr w:rsidR="00D44D96" w:rsidRPr="008F3ABB" w14:paraId="3A087B0A"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6F14A16"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1B4183E" w14:textId="35012C36"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35</w:t>
            </w:r>
          </w:p>
        </w:tc>
        <w:tc>
          <w:tcPr>
            <w:tcW w:w="2080" w:type="dxa"/>
            <w:tcBorders>
              <w:top w:val="nil"/>
              <w:left w:val="single" w:sz="4" w:space="0" w:color="auto"/>
              <w:bottom w:val="single" w:sz="8" w:space="0" w:color="auto"/>
              <w:right w:val="single" w:sz="8" w:space="0" w:color="auto"/>
            </w:tcBorders>
            <w:vAlign w:val="center"/>
          </w:tcPr>
          <w:p w14:paraId="6512CBBA" w14:textId="0909E96B" w:rsidR="00D44D96" w:rsidRPr="00210523" w:rsidRDefault="00D44D96" w:rsidP="00BC12DC">
            <w:pPr>
              <w:rPr>
                <w:rFonts w:ascii="Times New Roman" w:hAnsi="Times New Roman"/>
                <w:bCs/>
                <w:sz w:val="24"/>
                <w:szCs w:val="24"/>
                <w:lang w:val="fr-BE" w:eastAsia="fr-FR" w:bidi="fr-FR"/>
              </w:rPr>
            </w:pPr>
            <w:r w:rsidRPr="00A50DEC">
              <w:rPr>
                <w:rFonts w:ascii="Times New Roman" w:hAnsi="Times New Roman"/>
                <w:bCs/>
                <w:sz w:val="22"/>
                <w:szCs w:val="22"/>
                <w:lang w:val="fr-BE"/>
              </w:rPr>
              <w:t>Paire de</w:t>
            </w:r>
            <w:r w:rsidRPr="001C0167">
              <w:rPr>
                <w:rFonts w:ascii="Times New Roman" w:hAnsi="Times New Roman"/>
                <w:b/>
                <w:bCs/>
                <w:sz w:val="22"/>
                <w:szCs w:val="22"/>
                <w:lang w:val="fr-BE"/>
              </w:rPr>
              <w:t xml:space="preserve"> </w:t>
            </w:r>
            <w:r w:rsidRPr="001C0167">
              <w:rPr>
                <w:rFonts w:ascii="Times New Roman" w:hAnsi="Times New Roman"/>
                <w:sz w:val="22"/>
                <w:szCs w:val="22"/>
                <w:lang w:val="fr-BE"/>
              </w:rPr>
              <w:t xml:space="preserve">Bottes en caoutchouc pointure 42 </w:t>
            </w:r>
          </w:p>
        </w:tc>
        <w:tc>
          <w:tcPr>
            <w:tcW w:w="897" w:type="dxa"/>
            <w:tcBorders>
              <w:top w:val="nil"/>
              <w:left w:val="nil"/>
              <w:bottom w:val="single" w:sz="8" w:space="0" w:color="auto"/>
              <w:right w:val="single" w:sz="8" w:space="0" w:color="auto"/>
            </w:tcBorders>
            <w:vAlign w:val="center"/>
          </w:tcPr>
          <w:p w14:paraId="1D1E8A2B" w14:textId="2FE5794F"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7A7672B" w14:textId="4629A339"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C2DA467" w14:textId="46678BE3"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6E08DDB4" w14:textId="185CF4CC"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10</w:t>
            </w:r>
          </w:p>
        </w:tc>
      </w:tr>
      <w:tr w:rsidR="00D44D96" w:rsidRPr="008F3ABB" w14:paraId="4F3DF818"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264FF1A"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79B8BCC" w14:textId="5C4C5129"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36</w:t>
            </w:r>
          </w:p>
        </w:tc>
        <w:tc>
          <w:tcPr>
            <w:tcW w:w="2080" w:type="dxa"/>
            <w:tcBorders>
              <w:top w:val="nil"/>
              <w:left w:val="single" w:sz="4" w:space="0" w:color="auto"/>
              <w:bottom w:val="single" w:sz="8" w:space="0" w:color="auto"/>
              <w:right w:val="single" w:sz="8" w:space="0" w:color="auto"/>
            </w:tcBorders>
            <w:vAlign w:val="center"/>
          </w:tcPr>
          <w:p w14:paraId="154ED49F" w14:textId="76D280EF"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 xml:space="preserve">Imperméable taille L </w:t>
            </w:r>
          </w:p>
        </w:tc>
        <w:tc>
          <w:tcPr>
            <w:tcW w:w="897" w:type="dxa"/>
            <w:tcBorders>
              <w:top w:val="nil"/>
              <w:left w:val="nil"/>
              <w:bottom w:val="single" w:sz="8" w:space="0" w:color="auto"/>
              <w:right w:val="single" w:sz="8" w:space="0" w:color="auto"/>
            </w:tcBorders>
            <w:vAlign w:val="center"/>
          </w:tcPr>
          <w:p w14:paraId="0C3FA47E" w14:textId="116BA431"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0962941" w14:textId="0D6E5690"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BB94DED" w14:textId="5CFB96A5"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2EEF3020" w14:textId="4127EB9C"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10</w:t>
            </w:r>
          </w:p>
        </w:tc>
      </w:tr>
      <w:tr w:rsidR="00D44D96" w:rsidRPr="008F3ABB" w14:paraId="5C6531D3"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763A379"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4832695" w14:textId="04A95860"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37</w:t>
            </w:r>
          </w:p>
        </w:tc>
        <w:tc>
          <w:tcPr>
            <w:tcW w:w="2080" w:type="dxa"/>
            <w:tcBorders>
              <w:top w:val="nil"/>
              <w:left w:val="single" w:sz="4" w:space="0" w:color="auto"/>
              <w:bottom w:val="single" w:sz="8" w:space="0" w:color="auto"/>
              <w:right w:val="single" w:sz="8" w:space="0" w:color="auto"/>
            </w:tcBorders>
            <w:vAlign w:val="center"/>
          </w:tcPr>
          <w:p w14:paraId="166C02DD" w14:textId="6FAFFE9D"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Imperméable taille XL</w:t>
            </w:r>
          </w:p>
        </w:tc>
        <w:tc>
          <w:tcPr>
            <w:tcW w:w="897" w:type="dxa"/>
            <w:tcBorders>
              <w:top w:val="nil"/>
              <w:left w:val="nil"/>
              <w:bottom w:val="single" w:sz="8" w:space="0" w:color="auto"/>
              <w:right w:val="single" w:sz="8" w:space="0" w:color="auto"/>
            </w:tcBorders>
            <w:vAlign w:val="center"/>
          </w:tcPr>
          <w:p w14:paraId="48B69EDE" w14:textId="6986B321"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0F98889" w14:textId="3ACF2AF5"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FF7BA1A" w14:textId="38AFCBE0"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7DAB321C" w14:textId="33868DAC"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20</w:t>
            </w:r>
          </w:p>
        </w:tc>
      </w:tr>
      <w:tr w:rsidR="00D44D96" w:rsidRPr="008F3ABB" w14:paraId="13E82CA2"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135456B"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3B4E493" w14:textId="4DC7BF86"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38</w:t>
            </w:r>
          </w:p>
        </w:tc>
        <w:tc>
          <w:tcPr>
            <w:tcW w:w="2080" w:type="dxa"/>
            <w:tcBorders>
              <w:top w:val="nil"/>
              <w:left w:val="single" w:sz="4" w:space="0" w:color="auto"/>
              <w:bottom w:val="single" w:sz="8" w:space="0" w:color="auto"/>
              <w:right w:val="single" w:sz="8" w:space="0" w:color="auto"/>
            </w:tcBorders>
            <w:vAlign w:val="center"/>
          </w:tcPr>
          <w:p w14:paraId="2DB1B8EA" w14:textId="030B6681"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Imperméable taille XXL</w:t>
            </w:r>
          </w:p>
        </w:tc>
        <w:tc>
          <w:tcPr>
            <w:tcW w:w="897" w:type="dxa"/>
            <w:tcBorders>
              <w:top w:val="nil"/>
              <w:left w:val="nil"/>
              <w:bottom w:val="single" w:sz="8" w:space="0" w:color="auto"/>
              <w:right w:val="single" w:sz="8" w:space="0" w:color="auto"/>
            </w:tcBorders>
            <w:vAlign w:val="center"/>
          </w:tcPr>
          <w:p w14:paraId="160FB6DC" w14:textId="6F92F631"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E6E531" w14:textId="4B2D262B"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BF38FBE" w14:textId="1E1E18A3"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49DE7178" w14:textId="4BF5DCB2"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10</w:t>
            </w:r>
          </w:p>
        </w:tc>
      </w:tr>
      <w:tr w:rsidR="00D44D96" w:rsidRPr="008F3ABB" w14:paraId="2194F532"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D0500D1"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53FD3415" w14:textId="676808C6"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39</w:t>
            </w:r>
          </w:p>
        </w:tc>
        <w:tc>
          <w:tcPr>
            <w:tcW w:w="2080" w:type="dxa"/>
            <w:tcBorders>
              <w:top w:val="nil"/>
              <w:left w:val="single" w:sz="4" w:space="0" w:color="auto"/>
              <w:bottom w:val="single" w:sz="8" w:space="0" w:color="auto"/>
              <w:right w:val="single" w:sz="8" w:space="0" w:color="auto"/>
            </w:tcBorders>
            <w:vAlign w:val="center"/>
          </w:tcPr>
          <w:p w14:paraId="33C3E185" w14:textId="1D2590B1" w:rsidR="00D44D96" w:rsidRPr="00210523" w:rsidRDefault="00D44D96" w:rsidP="00BC12DC">
            <w:pPr>
              <w:rPr>
                <w:rFonts w:ascii="Times New Roman" w:hAnsi="Times New Roman"/>
                <w:bCs/>
                <w:sz w:val="24"/>
                <w:szCs w:val="24"/>
                <w:lang w:val="fr-BE" w:eastAsia="fr-FR" w:bidi="fr-FR"/>
              </w:rPr>
            </w:pPr>
            <w:r w:rsidRPr="00A50DEC">
              <w:rPr>
                <w:rFonts w:ascii="Times New Roman" w:hAnsi="Times New Roman"/>
                <w:bCs/>
                <w:sz w:val="22"/>
                <w:szCs w:val="22"/>
                <w:lang w:val="fr-BE"/>
              </w:rPr>
              <w:t xml:space="preserve">Paire de </w:t>
            </w:r>
            <w:r w:rsidRPr="001178A2">
              <w:rPr>
                <w:rFonts w:ascii="Times New Roman" w:hAnsi="Times New Roman"/>
                <w:sz w:val="22"/>
                <w:szCs w:val="22"/>
                <w:lang w:val="fr-BE"/>
              </w:rPr>
              <w:t>Chaussures pointure 39</w:t>
            </w:r>
          </w:p>
        </w:tc>
        <w:tc>
          <w:tcPr>
            <w:tcW w:w="897" w:type="dxa"/>
            <w:tcBorders>
              <w:top w:val="nil"/>
              <w:left w:val="nil"/>
              <w:bottom w:val="single" w:sz="8" w:space="0" w:color="auto"/>
              <w:right w:val="single" w:sz="8" w:space="0" w:color="auto"/>
            </w:tcBorders>
            <w:vAlign w:val="center"/>
          </w:tcPr>
          <w:p w14:paraId="7CAF87A0" w14:textId="73FBA3A5"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F2FCEF" w14:textId="03A3F6F7"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8DE47C0" w14:textId="44461BBA"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72734C04" w14:textId="32207101"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w:t>
            </w:r>
          </w:p>
        </w:tc>
      </w:tr>
      <w:tr w:rsidR="00D44D96" w:rsidRPr="008F3ABB" w14:paraId="66832DED"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A8F358F"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306AA36" w14:textId="452C8AFA"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40</w:t>
            </w:r>
          </w:p>
        </w:tc>
        <w:tc>
          <w:tcPr>
            <w:tcW w:w="2080" w:type="dxa"/>
            <w:tcBorders>
              <w:top w:val="nil"/>
              <w:left w:val="single" w:sz="4" w:space="0" w:color="auto"/>
              <w:bottom w:val="single" w:sz="8" w:space="0" w:color="auto"/>
              <w:right w:val="single" w:sz="8" w:space="0" w:color="auto"/>
            </w:tcBorders>
            <w:vAlign w:val="center"/>
          </w:tcPr>
          <w:p w14:paraId="01BC8561" w14:textId="58DC66E5" w:rsidR="00D44D96" w:rsidRPr="00210523" w:rsidRDefault="00D44D96" w:rsidP="00BC12DC">
            <w:pPr>
              <w:rPr>
                <w:rFonts w:ascii="Times New Roman" w:hAnsi="Times New Roman"/>
                <w:bCs/>
                <w:sz w:val="24"/>
                <w:szCs w:val="24"/>
                <w:lang w:val="fr-BE" w:eastAsia="fr-FR" w:bidi="fr-FR"/>
              </w:rPr>
            </w:pPr>
            <w:r w:rsidRPr="00A50DEC">
              <w:rPr>
                <w:rFonts w:ascii="Times New Roman" w:hAnsi="Times New Roman"/>
                <w:bCs/>
                <w:sz w:val="22"/>
                <w:szCs w:val="22"/>
                <w:lang w:val="fr-BE"/>
              </w:rPr>
              <w:t xml:space="preserve">Paire de </w:t>
            </w:r>
            <w:r w:rsidRPr="001178A2">
              <w:rPr>
                <w:rFonts w:ascii="Times New Roman" w:hAnsi="Times New Roman"/>
                <w:sz w:val="22"/>
                <w:szCs w:val="22"/>
                <w:lang w:val="fr-BE"/>
              </w:rPr>
              <w:t>Chaussures pointure 40</w:t>
            </w:r>
          </w:p>
        </w:tc>
        <w:tc>
          <w:tcPr>
            <w:tcW w:w="897" w:type="dxa"/>
            <w:tcBorders>
              <w:top w:val="nil"/>
              <w:left w:val="nil"/>
              <w:bottom w:val="single" w:sz="8" w:space="0" w:color="auto"/>
              <w:right w:val="single" w:sz="8" w:space="0" w:color="auto"/>
            </w:tcBorders>
            <w:vAlign w:val="center"/>
          </w:tcPr>
          <w:p w14:paraId="385590B6" w14:textId="17C1D5DF"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59D71FB" w14:textId="50A278AC"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42A8F30" w14:textId="03FC50FB"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2FC3F895" w14:textId="219C1320"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7</w:t>
            </w:r>
          </w:p>
        </w:tc>
      </w:tr>
      <w:tr w:rsidR="00D44D96" w:rsidRPr="008F3ABB" w14:paraId="26A6AE64"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5185DB93"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1745879F" w14:textId="1A644360"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41</w:t>
            </w:r>
          </w:p>
        </w:tc>
        <w:tc>
          <w:tcPr>
            <w:tcW w:w="2080" w:type="dxa"/>
            <w:tcBorders>
              <w:top w:val="nil"/>
              <w:left w:val="single" w:sz="4" w:space="0" w:color="auto"/>
              <w:bottom w:val="single" w:sz="8" w:space="0" w:color="auto"/>
              <w:right w:val="single" w:sz="8" w:space="0" w:color="auto"/>
            </w:tcBorders>
            <w:vAlign w:val="center"/>
          </w:tcPr>
          <w:p w14:paraId="6170A3D8" w14:textId="137967BC" w:rsidR="00D44D96" w:rsidRPr="00210523" w:rsidRDefault="00D44D96" w:rsidP="00BC12DC">
            <w:pPr>
              <w:rPr>
                <w:rFonts w:ascii="Times New Roman" w:hAnsi="Times New Roman"/>
                <w:bCs/>
                <w:sz w:val="24"/>
                <w:szCs w:val="24"/>
                <w:lang w:val="fr-BE" w:eastAsia="fr-FR" w:bidi="fr-FR"/>
              </w:rPr>
            </w:pPr>
            <w:r w:rsidRPr="00A50DEC">
              <w:rPr>
                <w:rFonts w:ascii="Times New Roman" w:hAnsi="Times New Roman"/>
                <w:bCs/>
                <w:sz w:val="22"/>
                <w:szCs w:val="22"/>
                <w:lang w:val="fr-BE"/>
              </w:rPr>
              <w:t xml:space="preserve">Paire de </w:t>
            </w:r>
            <w:r w:rsidRPr="001178A2">
              <w:rPr>
                <w:rFonts w:ascii="Times New Roman" w:hAnsi="Times New Roman"/>
                <w:sz w:val="22"/>
                <w:szCs w:val="22"/>
                <w:lang w:val="fr-BE"/>
              </w:rPr>
              <w:t>Chaussures pointure 41</w:t>
            </w:r>
          </w:p>
        </w:tc>
        <w:tc>
          <w:tcPr>
            <w:tcW w:w="897" w:type="dxa"/>
            <w:tcBorders>
              <w:top w:val="nil"/>
              <w:left w:val="nil"/>
              <w:bottom w:val="single" w:sz="8" w:space="0" w:color="auto"/>
              <w:right w:val="single" w:sz="8" w:space="0" w:color="auto"/>
            </w:tcBorders>
            <w:vAlign w:val="center"/>
          </w:tcPr>
          <w:p w14:paraId="394A8171" w14:textId="02369944"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549C12" w14:textId="01BB4F48"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AF45E72" w14:textId="09DD2313"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2BD7F14A" w14:textId="7B966B58"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70</w:t>
            </w:r>
          </w:p>
        </w:tc>
      </w:tr>
      <w:tr w:rsidR="00D44D96" w:rsidRPr="008F3ABB" w14:paraId="59FD9A7F"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37D0C8A"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4F56FEA5" w14:textId="338D5111"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42</w:t>
            </w:r>
          </w:p>
        </w:tc>
        <w:tc>
          <w:tcPr>
            <w:tcW w:w="2080" w:type="dxa"/>
            <w:tcBorders>
              <w:top w:val="nil"/>
              <w:left w:val="single" w:sz="4" w:space="0" w:color="auto"/>
              <w:bottom w:val="single" w:sz="8" w:space="0" w:color="auto"/>
              <w:right w:val="single" w:sz="8" w:space="0" w:color="auto"/>
            </w:tcBorders>
            <w:vAlign w:val="center"/>
          </w:tcPr>
          <w:p w14:paraId="5773EB16" w14:textId="4F6BD4BD" w:rsidR="00D44D96" w:rsidRPr="00210523" w:rsidRDefault="00D44D96" w:rsidP="00BC12DC">
            <w:pPr>
              <w:rPr>
                <w:rFonts w:ascii="Times New Roman" w:hAnsi="Times New Roman"/>
                <w:bCs/>
                <w:sz w:val="24"/>
                <w:szCs w:val="24"/>
                <w:lang w:val="fr-BE" w:eastAsia="fr-FR" w:bidi="fr-FR"/>
              </w:rPr>
            </w:pPr>
            <w:r w:rsidRPr="00A50DEC">
              <w:rPr>
                <w:rFonts w:ascii="Times New Roman" w:hAnsi="Times New Roman"/>
                <w:bCs/>
                <w:sz w:val="22"/>
                <w:szCs w:val="22"/>
                <w:lang w:val="fr-BE"/>
              </w:rPr>
              <w:t xml:space="preserve">Paire de </w:t>
            </w:r>
            <w:r w:rsidRPr="001178A2">
              <w:rPr>
                <w:rFonts w:ascii="Times New Roman" w:hAnsi="Times New Roman"/>
                <w:sz w:val="22"/>
                <w:szCs w:val="22"/>
                <w:lang w:val="fr-BE"/>
              </w:rPr>
              <w:t>Chaussures pointure 42</w:t>
            </w:r>
          </w:p>
        </w:tc>
        <w:tc>
          <w:tcPr>
            <w:tcW w:w="897" w:type="dxa"/>
            <w:tcBorders>
              <w:top w:val="nil"/>
              <w:left w:val="nil"/>
              <w:bottom w:val="single" w:sz="8" w:space="0" w:color="auto"/>
              <w:right w:val="single" w:sz="8" w:space="0" w:color="auto"/>
            </w:tcBorders>
            <w:vAlign w:val="center"/>
          </w:tcPr>
          <w:p w14:paraId="150EA175" w14:textId="03A28399"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54BFA5" w14:textId="03973FF0"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7491B58" w14:textId="5C7C8EDA"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7AAAE94A" w14:textId="54A0FC10"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7</w:t>
            </w:r>
          </w:p>
        </w:tc>
      </w:tr>
      <w:tr w:rsidR="00D44D96" w:rsidRPr="008F3ABB" w14:paraId="4E402B15"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11CDBFE"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B3081A7" w14:textId="76CD2F26"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43</w:t>
            </w:r>
          </w:p>
        </w:tc>
        <w:tc>
          <w:tcPr>
            <w:tcW w:w="2080" w:type="dxa"/>
            <w:tcBorders>
              <w:top w:val="nil"/>
              <w:left w:val="single" w:sz="4" w:space="0" w:color="auto"/>
              <w:bottom w:val="single" w:sz="8" w:space="0" w:color="auto"/>
              <w:right w:val="single" w:sz="8" w:space="0" w:color="auto"/>
            </w:tcBorders>
            <w:vAlign w:val="center"/>
          </w:tcPr>
          <w:p w14:paraId="0EEAD08B" w14:textId="3896B280" w:rsidR="00D44D96" w:rsidRPr="00210523" w:rsidRDefault="00D44D96" w:rsidP="00BC12DC">
            <w:pPr>
              <w:rPr>
                <w:rFonts w:ascii="Times New Roman" w:hAnsi="Times New Roman"/>
                <w:bCs/>
                <w:sz w:val="24"/>
                <w:szCs w:val="24"/>
                <w:lang w:val="fr-BE" w:eastAsia="fr-FR" w:bidi="fr-FR"/>
              </w:rPr>
            </w:pPr>
            <w:r w:rsidRPr="00A50DEC">
              <w:rPr>
                <w:rFonts w:ascii="Times New Roman" w:hAnsi="Times New Roman"/>
                <w:bCs/>
                <w:sz w:val="22"/>
                <w:szCs w:val="22"/>
                <w:lang w:val="fr-BE"/>
              </w:rPr>
              <w:t xml:space="preserve">Paire de </w:t>
            </w:r>
            <w:r w:rsidRPr="001178A2">
              <w:rPr>
                <w:rFonts w:ascii="Times New Roman" w:hAnsi="Times New Roman"/>
                <w:sz w:val="22"/>
                <w:szCs w:val="22"/>
                <w:lang w:val="fr-BE"/>
              </w:rPr>
              <w:t>Chaussures pointure 43</w:t>
            </w:r>
          </w:p>
        </w:tc>
        <w:tc>
          <w:tcPr>
            <w:tcW w:w="897" w:type="dxa"/>
            <w:tcBorders>
              <w:top w:val="nil"/>
              <w:left w:val="nil"/>
              <w:bottom w:val="single" w:sz="8" w:space="0" w:color="auto"/>
              <w:right w:val="single" w:sz="8" w:space="0" w:color="auto"/>
            </w:tcBorders>
            <w:vAlign w:val="center"/>
          </w:tcPr>
          <w:p w14:paraId="614F151F" w14:textId="0C9F396A"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EA420B" w14:textId="31812661"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2F47C89" w14:textId="42AA1A60"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785A53C1" w14:textId="3EF2DDA2"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4</w:t>
            </w:r>
          </w:p>
        </w:tc>
      </w:tr>
      <w:tr w:rsidR="00D44D96" w:rsidRPr="008F3ABB" w14:paraId="2C4ADE78"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0EC1A1FE"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5704D30" w14:textId="084AAF58"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44</w:t>
            </w:r>
          </w:p>
        </w:tc>
        <w:tc>
          <w:tcPr>
            <w:tcW w:w="2080" w:type="dxa"/>
            <w:tcBorders>
              <w:top w:val="nil"/>
              <w:left w:val="single" w:sz="4" w:space="0" w:color="auto"/>
              <w:bottom w:val="single" w:sz="8" w:space="0" w:color="auto"/>
              <w:right w:val="single" w:sz="8" w:space="0" w:color="auto"/>
            </w:tcBorders>
            <w:vAlign w:val="center"/>
          </w:tcPr>
          <w:p w14:paraId="304E01F4" w14:textId="34358A74" w:rsidR="00D44D96" w:rsidRPr="00210523" w:rsidRDefault="00D44D96" w:rsidP="00BC12DC">
            <w:pPr>
              <w:rPr>
                <w:rFonts w:ascii="Times New Roman" w:hAnsi="Times New Roman"/>
                <w:bCs/>
                <w:sz w:val="24"/>
                <w:szCs w:val="24"/>
                <w:lang w:val="fr-BE" w:eastAsia="fr-FR" w:bidi="fr-FR"/>
              </w:rPr>
            </w:pPr>
            <w:r w:rsidRPr="00A50DEC">
              <w:rPr>
                <w:rFonts w:ascii="Times New Roman" w:hAnsi="Times New Roman"/>
                <w:bCs/>
                <w:sz w:val="22"/>
                <w:szCs w:val="22"/>
                <w:lang w:val="fr-BE"/>
              </w:rPr>
              <w:t xml:space="preserve">Paire de </w:t>
            </w:r>
            <w:r w:rsidRPr="001178A2">
              <w:rPr>
                <w:rFonts w:ascii="Times New Roman" w:hAnsi="Times New Roman"/>
                <w:sz w:val="22"/>
                <w:szCs w:val="22"/>
                <w:lang w:val="fr-BE"/>
              </w:rPr>
              <w:t xml:space="preserve">Gants de travail </w:t>
            </w:r>
          </w:p>
        </w:tc>
        <w:tc>
          <w:tcPr>
            <w:tcW w:w="897" w:type="dxa"/>
            <w:tcBorders>
              <w:top w:val="nil"/>
              <w:left w:val="nil"/>
              <w:bottom w:val="single" w:sz="8" w:space="0" w:color="auto"/>
              <w:right w:val="single" w:sz="8" w:space="0" w:color="auto"/>
            </w:tcBorders>
            <w:vAlign w:val="center"/>
          </w:tcPr>
          <w:p w14:paraId="3BADCD79" w14:textId="536A3DC9"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5B08103" w14:textId="12C2A520"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F5212B4" w14:textId="504584B5"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7AA44938" w14:textId="062D784E"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30</w:t>
            </w:r>
          </w:p>
        </w:tc>
      </w:tr>
      <w:tr w:rsidR="00D44D96" w:rsidRPr="008F3ABB" w14:paraId="4AC01203"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F455F7C"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36CF33C" w14:textId="050D428F"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45</w:t>
            </w:r>
          </w:p>
        </w:tc>
        <w:tc>
          <w:tcPr>
            <w:tcW w:w="2080" w:type="dxa"/>
            <w:tcBorders>
              <w:top w:val="nil"/>
              <w:left w:val="single" w:sz="4" w:space="0" w:color="auto"/>
              <w:bottom w:val="single" w:sz="8" w:space="0" w:color="auto"/>
              <w:right w:val="single" w:sz="8" w:space="0" w:color="auto"/>
            </w:tcBorders>
            <w:vAlign w:val="center"/>
          </w:tcPr>
          <w:p w14:paraId="75BC20CE" w14:textId="68BF2730"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 xml:space="preserve">Lunettes de protection </w:t>
            </w:r>
          </w:p>
        </w:tc>
        <w:tc>
          <w:tcPr>
            <w:tcW w:w="897" w:type="dxa"/>
            <w:tcBorders>
              <w:top w:val="nil"/>
              <w:left w:val="nil"/>
              <w:bottom w:val="single" w:sz="8" w:space="0" w:color="auto"/>
              <w:right w:val="single" w:sz="8" w:space="0" w:color="auto"/>
            </w:tcBorders>
            <w:vAlign w:val="center"/>
          </w:tcPr>
          <w:p w14:paraId="4D438123" w14:textId="2DD131FF"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BDF0C2" w14:textId="1600E38E"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ECA2288" w14:textId="3B268339"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0B9BB65E" w14:textId="196D03C2"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30</w:t>
            </w:r>
          </w:p>
        </w:tc>
      </w:tr>
      <w:tr w:rsidR="00D44D96" w:rsidRPr="008F3ABB" w14:paraId="51BB3EC3"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57FD787"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547C3919" w14:textId="084F41F8"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46</w:t>
            </w:r>
          </w:p>
        </w:tc>
        <w:tc>
          <w:tcPr>
            <w:tcW w:w="2080" w:type="dxa"/>
            <w:tcBorders>
              <w:top w:val="nil"/>
              <w:left w:val="single" w:sz="4" w:space="0" w:color="auto"/>
              <w:bottom w:val="single" w:sz="8" w:space="0" w:color="auto"/>
              <w:right w:val="single" w:sz="8" w:space="0" w:color="auto"/>
            </w:tcBorders>
            <w:vAlign w:val="center"/>
          </w:tcPr>
          <w:p w14:paraId="3CA752DE" w14:textId="63A27F4A"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 xml:space="preserve">Casque de protection </w:t>
            </w:r>
          </w:p>
        </w:tc>
        <w:tc>
          <w:tcPr>
            <w:tcW w:w="897" w:type="dxa"/>
            <w:tcBorders>
              <w:top w:val="nil"/>
              <w:left w:val="nil"/>
              <w:bottom w:val="single" w:sz="8" w:space="0" w:color="auto"/>
              <w:right w:val="single" w:sz="8" w:space="0" w:color="auto"/>
            </w:tcBorders>
            <w:vAlign w:val="center"/>
          </w:tcPr>
          <w:p w14:paraId="7A22DFDE" w14:textId="4D77DEC0"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F343F5" w14:textId="4F84E3DE"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D82CEAA" w14:textId="3826A466"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7E3F4697" w14:textId="0635DE88"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30</w:t>
            </w:r>
          </w:p>
        </w:tc>
      </w:tr>
      <w:tr w:rsidR="00D44D96" w:rsidRPr="008F3ABB" w14:paraId="654EDB76"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763B1EF"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6ADD14C" w14:textId="6BFA1C90"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47</w:t>
            </w:r>
          </w:p>
        </w:tc>
        <w:tc>
          <w:tcPr>
            <w:tcW w:w="2080" w:type="dxa"/>
            <w:tcBorders>
              <w:top w:val="nil"/>
              <w:left w:val="single" w:sz="4" w:space="0" w:color="auto"/>
              <w:bottom w:val="single" w:sz="8" w:space="0" w:color="auto"/>
              <w:right w:val="single" w:sz="8" w:space="0" w:color="auto"/>
            </w:tcBorders>
            <w:vAlign w:val="center"/>
          </w:tcPr>
          <w:p w14:paraId="354348A5" w14:textId="7526A29E"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Harnais et Corde avec mousqueton</w:t>
            </w:r>
          </w:p>
        </w:tc>
        <w:tc>
          <w:tcPr>
            <w:tcW w:w="897" w:type="dxa"/>
            <w:tcBorders>
              <w:top w:val="nil"/>
              <w:left w:val="nil"/>
              <w:bottom w:val="single" w:sz="8" w:space="0" w:color="auto"/>
              <w:right w:val="single" w:sz="8" w:space="0" w:color="auto"/>
            </w:tcBorders>
            <w:vAlign w:val="center"/>
          </w:tcPr>
          <w:p w14:paraId="7146BB54" w14:textId="0AA940CC"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18D7A1B" w14:textId="3D7DB459"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B92298F" w14:textId="1A7C8543"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6151454A" w14:textId="5BA6AB98"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15</w:t>
            </w:r>
          </w:p>
        </w:tc>
      </w:tr>
      <w:tr w:rsidR="00D44D96" w:rsidRPr="008F3ABB" w14:paraId="119BFB4F"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D4631A2"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8EADFAE" w14:textId="66396D39"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48</w:t>
            </w:r>
          </w:p>
        </w:tc>
        <w:tc>
          <w:tcPr>
            <w:tcW w:w="2080" w:type="dxa"/>
            <w:tcBorders>
              <w:top w:val="nil"/>
              <w:left w:val="single" w:sz="4" w:space="0" w:color="auto"/>
              <w:bottom w:val="single" w:sz="8" w:space="0" w:color="auto"/>
              <w:right w:val="single" w:sz="8" w:space="0" w:color="auto"/>
            </w:tcBorders>
            <w:vAlign w:val="center"/>
          </w:tcPr>
          <w:p w14:paraId="5593E928" w14:textId="44201E37"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 xml:space="preserve">Crochet </w:t>
            </w:r>
          </w:p>
        </w:tc>
        <w:tc>
          <w:tcPr>
            <w:tcW w:w="897" w:type="dxa"/>
            <w:tcBorders>
              <w:top w:val="nil"/>
              <w:left w:val="nil"/>
              <w:bottom w:val="single" w:sz="8" w:space="0" w:color="auto"/>
              <w:right w:val="single" w:sz="8" w:space="0" w:color="auto"/>
            </w:tcBorders>
            <w:vAlign w:val="center"/>
          </w:tcPr>
          <w:p w14:paraId="2664804B" w14:textId="1A278BCF"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89A9223" w14:textId="36112765"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CE54133" w14:textId="4B210F2E"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62031E5D" w14:textId="2411DC28"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20</w:t>
            </w:r>
          </w:p>
        </w:tc>
      </w:tr>
      <w:tr w:rsidR="00D44D96" w:rsidRPr="008F3ABB" w14:paraId="313A96A1"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804BC8C"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58C21F33" w14:textId="1F33FD26"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49</w:t>
            </w:r>
          </w:p>
        </w:tc>
        <w:tc>
          <w:tcPr>
            <w:tcW w:w="2080" w:type="dxa"/>
            <w:tcBorders>
              <w:top w:val="nil"/>
              <w:left w:val="single" w:sz="4" w:space="0" w:color="auto"/>
              <w:bottom w:val="single" w:sz="8" w:space="0" w:color="auto"/>
              <w:right w:val="single" w:sz="8" w:space="0" w:color="auto"/>
            </w:tcBorders>
            <w:vAlign w:val="center"/>
          </w:tcPr>
          <w:p w14:paraId="2A33C74A" w14:textId="28835420"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Natte ou bâche de séchage</w:t>
            </w:r>
          </w:p>
        </w:tc>
        <w:tc>
          <w:tcPr>
            <w:tcW w:w="897" w:type="dxa"/>
            <w:tcBorders>
              <w:top w:val="nil"/>
              <w:left w:val="nil"/>
              <w:bottom w:val="single" w:sz="8" w:space="0" w:color="auto"/>
              <w:right w:val="single" w:sz="8" w:space="0" w:color="auto"/>
            </w:tcBorders>
            <w:vAlign w:val="center"/>
          </w:tcPr>
          <w:p w14:paraId="1F711A9B" w14:textId="7A2B326D"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116730A" w14:textId="4E50281C"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5483274" w14:textId="741F9030"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1DC47498" w14:textId="5C37C09F"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12</w:t>
            </w:r>
          </w:p>
        </w:tc>
      </w:tr>
      <w:tr w:rsidR="00D44D96" w:rsidRPr="008F3ABB" w14:paraId="3F529CF7"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46B2279"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4D1672F1" w14:textId="513F27BD"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50</w:t>
            </w:r>
          </w:p>
        </w:tc>
        <w:tc>
          <w:tcPr>
            <w:tcW w:w="2080" w:type="dxa"/>
            <w:tcBorders>
              <w:top w:val="nil"/>
              <w:left w:val="single" w:sz="4" w:space="0" w:color="auto"/>
              <w:bottom w:val="single" w:sz="8" w:space="0" w:color="auto"/>
              <w:right w:val="single" w:sz="8" w:space="0" w:color="auto"/>
            </w:tcBorders>
            <w:vAlign w:val="center"/>
          </w:tcPr>
          <w:p w14:paraId="71447279" w14:textId="7EE46EE0"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Mortier et pilon</w:t>
            </w:r>
          </w:p>
        </w:tc>
        <w:tc>
          <w:tcPr>
            <w:tcW w:w="897" w:type="dxa"/>
            <w:tcBorders>
              <w:top w:val="nil"/>
              <w:left w:val="nil"/>
              <w:bottom w:val="single" w:sz="8" w:space="0" w:color="auto"/>
              <w:right w:val="single" w:sz="8" w:space="0" w:color="auto"/>
            </w:tcBorders>
            <w:vAlign w:val="center"/>
          </w:tcPr>
          <w:p w14:paraId="69E86D83" w14:textId="663A8292"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4BE279D" w14:textId="79EB6F5B"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E027086" w14:textId="581BE1E1"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1EA3B141" w14:textId="61E588A6"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6</w:t>
            </w:r>
          </w:p>
        </w:tc>
      </w:tr>
      <w:tr w:rsidR="00D44D96" w:rsidRPr="008F3ABB" w14:paraId="3ED634E4"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5F5C8EE3"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CE28E86" w14:textId="1C7E72D3"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51</w:t>
            </w:r>
          </w:p>
        </w:tc>
        <w:tc>
          <w:tcPr>
            <w:tcW w:w="2080" w:type="dxa"/>
            <w:tcBorders>
              <w:top w:val="nil"/>
              <w:left w:val="single" w:sz="4" w:space="0" w:color="auto"/>
              <w:bottom w:val="single" w:sz="8" w:space="0" w:color="auto"/>
              <w:right w:val="single" w:sz="8" w:space="0" w:color="auto"/>
            </w:tcBorders>
            <w:vAlign w:val="center"/>
          </w:tcPr>
          <w:p w14:paraId="1A82B8BF" w14:textId="3A07CE69"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Tamis de 6 mm</w:t>
            </w:r>
          </w:p>
        </w:tc>
        <w:tc>
          <w:tcPr>
            <w:tcW w:w="897" w:type="dxa"/>
            <w:tcBorders>
              <w:top w:val="nil"/>
              <w:left w:val="nil"/>
              <w:bottom w:val="single" w:sz="8" w:space="0" w:color="auto"/>
              <w:right w:val="single" w:sz="8" w:space="0" w:color="auto"/>
            </w:tcBorders>
            <w:vAlign w:val="center"/>
          </w:tcPr>
          <w:p w14:paraId="23F639DA" w14:textId="6DB0085B"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8161818" w14:textId="40B55D43"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2A71787" w14:textId="08C7BC18"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1F3E6279" w14:textId="3DB82FEE"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w:t>
            </w:r>
          </w:p>
        </w:tc>
      </w:tr>
      <w:tr w:rsidR="00D44D96" w:rsidRPr="008F3ABB" w14:paraId="344C97D5"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AB7E6B8"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C1AFD28" w14:textId="5886701A"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52</w:t>
            </w:r>
          </w:p>
        </w:tc>
        <w:tc>
          <w:tcPr>
            <w:tcW w:w="2080" w:type="dxa"/>
            <w:tcBorders>
              <w:top w:val="nil"/>
              <w:left w:val="single" w:sz="4" w:space="0" w:color="auto"/>
              <w:bottom w:val="single" w:sz="8" w:space="0" w:color="auto"/>
              <w:right w:val="single" w:sz="8" w:space="0" w:color="auto"/>
            </w:tcBorders>
            <w:vAlign w:val="center"/>
          </w:tcPr>
          <w:p w14:paraId="726EB8FA" w14:textId="38878D1B"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Tamis de 4 mm</w:t>
            </w:r>
          </w:p>
        </w:tc>
        <w:tc>
          <w:tcPr>
            <w:tcW w:w="897" w:type="dxa"/>
            <w:tcBorders>
              <w:top w:val="nil"/>
              <w:left w:val="nil"/>
              <w:bottom w:val="single" w:sz="8" w:space="0" w:color="auto"/>
              <w:right w:val="single" w:sz="8" w:space="0" w:color="auto"/>
            </w:tcBorders>
            <w:vAlign w:val="center"/>
          </w:tcPr>
          <w:p w14:paraId="1CBB39AC" w14:textId="153D8BCA"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A02FDC" w14:textId="718795A5"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D58E37C" w14:textId="7984CC3B"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561C00B6" w14:textId="5E139F51"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w:t>
            </w:r>
          </w:p>
        </w:tc>
      </w:tr>
      <w:tr w:rsidR="00D44D96" w:rsidRPr="008F3ABB" w14:paraId="0D8D1756"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969A383"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4B2D053" w14:textId="433D21B8"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53</w:t>
            </w:r>
          </w:p>
        </w:tc>
        <w:tc>
          <w:tcPr>
            <w:tcW w:w="2080" w:type="dxa"/>
            <w:tcBorders>
              <w:top w:val="nil"/>
              <w:left w:val="single" w:sz="4" w:space="0" w:color="auto"/>
              <w:bottom w:val="single" w:sz="8" w:space="0" w:color="auto"/>
              <w:right w:val="single" w:sz="8" w:space="0" w:color="auto"/>
            </w:tcBorders>
            <w:vAlign w:val="center"/>
          </w:tcPr>
          <w:p w14:paraId="3AEEE42F" w14:textId="1B4372AD"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 xml:space="preserve">Tamis de 2 mm </w:t>
            </w:r>
          </w:p>
        </w:tc>
        <w:tc>
          <w:tcPr>
            <w:tcW w:w="897" w:type="dxa"/>
            <w:tcBorders>
              <w:top w:val="nil"/>
              <w:left w:val="nil"/>
              <w:bottom w:val="single" w:sz="8" w:space="0" w:color="auto"/>
              <w:right w:val="single" w:sz="8" w:space="0" w:color="auto"/>
            </w:tcBorders>
            <w:vAlign w:val="center"/>
          </w:tcPr>
          <w:p w14:paraId="79B4A55B" w14:textId="75287A41"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2387C70" w14:textId="769BE5D9"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C0A8936" w14:textId="55CD9DC2"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6B3EC31E" w14:textId="31D3C8CF"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w:t>
            </w:r>
          </w:p>
        </w:tc>
      </w:tr>
      <w:tr w:rsidR="00D44D96" w:rsidRPr="008F3ABB" w14:paraId="2440EC62"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78C50605"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3984EE78" w14:textId="059320BB"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54</w:t>
            </w:r>
          </w:p>
        </w:tc>
        <w:tc>
          <w:tcPr>
            <w:tcW w:w="2080" w:type="dxa"/>
            <w:tcBorders>
              <w:top w:val="nil"/>
              <w:left w:val="single" w:sz="4" w:space="0" w:color="auto"/>
              <w:bottom w:val="single" w:sz="8" w:space="0" w:color="auto"/>
              <w:right w:val="single" w:sz="8" w:space="0" w:color="auto"/>
            </w:tcBorders>
            <w:vAlign w:val="center"/>
          </w:tcPr>
          <w:p w14:paraId="3BBD46CA" w14:textId="785B5D27"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Cuvette</w:t>
            </w:r>
          </w:p>
        </w:tc>
        <w:tc>
          <w:tcPr>
            <w:tcW w:w="897" w:type="dxa"/>
            <w:tcBorders>
              <w:top w:val="nil"/>
              <w:left w:val="nil"/>
              <w:bottom w:val="single" w:sz="8" w:space="0" w:color="auto"/>
              <w:right w:val="single" w:sz="8" w:space="0" w:color="auto"/>
            </w:tcBorders>
            <w:vAlign w:val="center"/>
          </w:tcPr>
          <w:p w14:paraId="67517B03" w14:textId="2CE70075"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BE914CE" w14:textId="4C29F2EB"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7D00032" w14:textId="0058FA3E"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01A46472" w14:textId="24CB73A2"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50</w:t>
            </w:r>
          </w:p>
        </w:tc>
      </w:tr>
      <w:tr w:rsidR="00D44D96" w:rsidRPr="008F3ABB" w14:paraId="731F4383"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9B932AB"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0D9C21F" w14:textId="64119C59"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55</w:t>
            </w:r>
          </w:p>
        </w:tc>
        <w:tc>
          <w:tcPr>
            <w:tcW w:w="2080" w:type="dxa"/>
            <w:tcBorders>
              <w:top w:val="nil"/>
              <w:left w:val="single" w:sz="4" w:space="0" w:color="auto"/>
              <w:bottom w:val="single" w:sz="8" w:space="0" w:color="auto"/>
              <w:right w:val="single" w:sz="8" w:space="0" w:color="auto"/>
            </w:tcBorders>
            <w:vAlign w:val="center"/>
          </w:tcPr>
          <w:p w14:paraId="3CF8E1F3" w14:textId="12A7F3DA"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Seau</w:t>
            </w:r>
          </w:p>
        </w:tc>
        <w:tc>
          <w:tcPr>
            <w:tcW w:w="897" w:type="dxa"/>
            <w:tcBorders>
              <w:top w:val="nil"/>
              <w:left w:val="nil"/>
              <w:bottom w:val="single" w:sz="8" w:space="0" w:color="auto"/>
              <w:right w:val="single" w:sz="8" w:space="0" w:color="auto"/>
            </w:tcBorders>
            <w:vAlign w:val="center"/>
          </w:tcPr>
          <w:p w14:paraId="3300F415" w14:textId="35095143"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6A08F89" w14:textId="7084B9F8"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8AF66AB" w14:textId="2EDF47B2"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1C02772E" w14:textId="2C1FDDCD"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50</w:t>
            </w:r>
          </w:p>
        </w:tc>
      </w:tr>
      <w:tr w:rsidR="00D44D96" w:rsidRPr="008F3ABB" w14:paraId="5EA2F494"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16DE5FD"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401CD5E1" w14:textId="5042ACCA"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56</w:t>
            </w:r>
          </w:p>
        </w:tc>
        <w:tc>
          <w:tcPr>
            <w:tcW w:w="2080" w:type="dxa"/>
            <w:tcBorders>
              <w:top w:val="nil"/>
              <w:left w:val="single" w:sz="4" w:space="0" w:color="auto"/>
              <w:bottom w:val="single" w:sz="8" w:space="0" w:color="auto"/>
              <w:right w:val="single" w:sz="8" w:space="0" w:color="auto"/>
            </w:tcBorders>
            <w:vAlign w:val="center"/>
          </w:tcPr>
          <w:p w14:paraId="2D45F0B5" w14:textId="28EB9CDF"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Bêche (</w:t>
            </w:r>
            <w:proofErr w:type="spellStart"/>
            <w:r w:rsidRPr="001C0167">
              <w:rPr>
                <w:rFonts w:ascii="Times New Roman" w:hAnsi="Times New Roman"/>
                <w:sz w:val="22"/>
                <w:szCs w:val="22"/>
                <w:lang w:val="fr-BE"/>
              </w:rPr>
              <w:t>angady</w:t>
            </w:r>
            <w:proofErr w:type="spellEnd"/>
            <w:r w:rsidRPr="001C0167">
              <w:rPr>
                <w:rFonts w:ascii="Times New Roman" w:hAnsi="Times New Roman"/>
                <w:sz w:val="22"/>
                <w:szCs w:val="22"/>
                <w:lang w:val="fr-BE"/>
              </w:rPr>
              <w:t>)</w:t>
            </w:r>
          </w:p>
        </w:tc>
        <w:tc>
          <w:tcPr>
            <w:tcW w:w="897" w:type="dxa"/>
            <w:tcBorders>
              <w:top w:val="nil"/>
              <w:left w:val="nil"/>
              <w:bottom w:val="single" w:sz="8" w:space="0" w:color="auto"/>
              <w:right w:val="single" w:sz="8" w:space="0" w:color="auto"/>
            </w:tcBorders>
            <w:vAlign w:val="center"/>
          </w:tcPr>
          <w:p w14:paraId="6F300CAB" w14:textId="417F3921"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162EFD0" w14:textId="46CE4F68"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B96C36B" w14:textId="73C91727"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11D3DD4E" w14:textId="5D8CD40B"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50</w:t>
            </w:r>
          </w:p>
        </w:tc>
      </w:tr>
      <w:tr w:rsidR="00D44D96" w:rsidRPr="008F3ABB" w14:paraId="5051205F"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2C8DB040"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52AF62F6" w14:textId="71EDE888"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57</w:t>
            </w:r>
          </w:p>
        </w:tc>
        <w:tc>
          <w:tcPr>
            <w:tcW w:w="2080" w:type="dxa"/>
            <w:tcBorders>
              <w:top w:val="nil"/>
              <w:left w:val="single" w:sz="4" w:space="0" w:color="auto"/>
              <w:bottom w:val="single" w:sz="8" w:space="0" w:color="auto"/>
              <w:right w:val="single" w:sz="8" w:space="0" w:color="auto"/>
            </w:tcBorders>
            <w:vAlign w:val="center"/>
          </w:tcPr>
          <w:p w14:paraId="2D745DCC" w14:textId="4EFE9B39"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Râteau</w:t>
            </w:r>
          </w:p>
        </w:tc>
        <w:tc>
          <w:tcPr>
            <w:tcW w:w="897" w:type="dxa"/>
            <w:tcBorders>
              <w:top w:val="nil"/>
              <w:left w:val="nil"/>
              <w:bottom w:val="single" w:sz="8" w:space="0" w:color="auto"/>
              <w:right w:val="single" w:sz="8" w:space="0" w:color="auto"/>
            </w:tcBorders>
            <w:vAlign w:val="center"/>
          </w:tcPr>
          <w:p w14:paraId="643F1A32" w14:textId="48BF6CE5"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3DCEE1E" w14:textId="048A3339"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DA7DBB4" w14:textId="44DBD584"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1BA443F6" w14:textId="7EAF8A47"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50</w:t>
            </w:r>
          </w:p>
        </w:tc>
      </w:tr>
      <w:tr w:rsidR="00D44D96" w:rsidRPr="008F3ABB" w14:paraId="1B06CC98"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5353ACD6"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4C1A5CCB" w14:textId="1895B040"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58</w:t>
            </w:r>
          </w:p>
        </w:tc>
        <w:tc>
          <w:tcPr>
            <w:tcW w:w="2080" w:type="dxa"/>
            <w:tcBorders>
              <w:top w:val="nil"/>
              <w:left w:val="single" w:sz="4" w:space="0" w:color="auto"/>
              <w:bottom w:val="single" w:sz="8" w:space="0" w:color="auto"/>
              <w:right w:val="single" w:sz="8" w:space="0" w:color="auto"/>
            </w:tcBorders>
            <w:vAlign w:val="center"/>
          </w:tcPr>
          <w:p w14:paraId="2A66A36D" w14:textId="41975939"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Pelle</w:t>
            </w:r>
          </w:p>
        </w:tc>
        <w:tc>
          <w:tcPr>
            <w:tcW w:w="897" w:type="dxa"/>
            <w:tcBorders>
              <w:top w:val="nil"/>
              <w:left w:val="nil"/>
              <w:bottom w:val="single" w:sz="8" w:space="0" w:color="auto"/>
              <w:right w:val="single" w:sz="8" w:space="0" w:color="auto"/>
            </w:tcBorders>
            <w:vAlign w:val="center"/>
          </w:tcPr>
          <w:p w14:paraId="3E98519B" w14:textId="72C17916"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7F8C4F" w14:textId="409B118E"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C36AD35" w14:textId="17FD3DF2"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389FA37F" w14:textId="2F58AF4B"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50</w:t>
            </w:r>
          </w:p>
        </w:tc>
      </w:tr>
      <w:tr w:rsidR="00D44D96" w:rsidRPr="008F3ABB" w14:paraId="4D9E58B7"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EE3AE72"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2FA83357" w14:textId="6646AE9B"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59</w:t>
            </w:r>
          </w:p>
        </w:tc>
        <w:tc>
          <w:tcPr>
            <w:tcW w:w="2080" w:type="dxa"/>
            <w:tcBorders>
              <w:top w:val="nil"/>
              <w:left w:val="single" w:sz="4" w:space="0" w:color="auto"/>
              <w:bottom w:val="single" w:sz="8" w:space="0" w:color="auto"/>
              <w:right w:val="single" w:sz="8" w:space="0" w:color="auto"/>
            </w:tcBorders>
            <w:vAlign w:val="center"/>
          </w:tcPr>
          <w:p w14:paraId="62C6680C" w14:textId="40A5546A"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 xml:space="preserve">Arrosoir </w:t>
            </w:r>
          </w:p>
        </w:tc>
        <w:tc>
          <w:tcPr>
            <w:tcW w:w="897" w:type="dxa"/>
            <w:tcBorders>
              <w:top w:val="nil"/>
              <w:left w:val="nil"/>
              <w:bottom w:val="single" w:sz="8" w:space="0" w:color="auto"/>
              <w:right w:val="single" w:sz="8" w:space="0" w:color="auto"/>
            </w:tcBorders>
            <w:vAlign w:val="center"/>
          </w:tcPr>
          <w:p w14:paraId="70926D39" w14:textId="034F306A"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750DE2" w14:textId="693E19B8"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1A25969" w14:textId="0E6D9983"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7C4D07D4" w14:textId="7849A07E"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50</w:t>
            </w:r>
          </w:p>
        </w:tc>
      </w:tr>
      <w:tr w:rsidR="00D44D96" w:rsidRPr="008F3ABB" w14:paraId="75A51565"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EBE3075"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155D962" w14:textId="21A433C3"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60</w:t>
            </w:r>
          </w:p>
        </w:tc>
        <w:tc>
          <w:tcPr>
            <w:tcW w:w="2080" w:type="dxa"/>
            <w:tcBorders>
              <w:top w:val="nil"/>
              <w:left w:val="single" w:sz="4" w:space="0" w:color="auto"/>
              <w:bottom w:val="single" w:sz="8" w:space="0" w:color="auto"/>
              <w:right w:val="single" w:sz="8" w:space="0" w:color="auto"/>
            </w:tcBorders>
            <w:vAlign w:val="center"/>
          </w:tcPr>
          <w:p w14:paraId="05817F7D" w14:textId="33627DBB"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 xml:space="preserve">Brouette </w:t>
            </w:r>
          </w:p>
        </w:tc>
        <w:tc>
          <w:tcPr>
            <w:tcW w:w="897" w:type="dxa"/>
            <w:tcBorders>
              <w:top w:val="nil"/>
              <w:left w:val="nil"/>
              <w:bottom w:val="single" w:sz="8" w:space="0" w:color="auto"/>
              <w:right w:val="single" w:sz="8" w:space="0" w:color="auto"/>
            </w:tcBorders>
            <w:vAlign w:val="center"/>
          </w:tcPr>
          <w:p w14:paraId="54048DB0" w14:textId="100109E2"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DBC8A61" w14:textId="1DA6FF1F"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515853A" w14:textId="2A961B82"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35A4E1AE" w14:textId="3B9EF038"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20</w:t>
            </w:r>
          </w:p>
        </w:tc>
      </w:tr>
      <w:tr w:rsidR="00D44D96" w:rsidRPr="008F3ABB" w14:paraId="7BC17C2E"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5932AEC3"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08675E69" w14:textId="647E4A1F"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61</w:t>
            </w:r>
          </w:p>
        </w:tc>
        <w:tc>
          <w:tcPr>
            <w:tcW w:w="2080" w:type="dxa"/>
            <w:tcBorders>
              <w:top w:val="nil"/>
              <w:left w:val="single" w:sz="4" w:space="0" w:color="auto"/>
              <w:bottom w:val="single" w:sz="8" w:space="0" w:color="auto"/>
              <w:right w:val="single" w:sz="8" w:space="0" w:color="auto"/>
            </w:tcBorders>
            <w:vAlign w:val="center"/>
          </w:tcPr>
          <w:p w14:paraId="009DA762" w14:textId="5BEE6346"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Pulvérisateur</w:t>
            </w:r>
          </w:p>
        </w:tc>
        <w:tc>
          <w:tcPr>
            <w:tcW w:w="897" w:type="dxa"/>
            <w:tcBorders>
              <w:top w:val="nil"/>
              <w:left w:val="nil"/>
              <w:bottom w:val="single" w:sz="8" w:space="0" w:color="auto"/>
              <w:right w:val="single" w:sz="8" w:space="0" w:color="auto"/>
            </w:tcBorders>
            <w:vAlign w:val="center"/>
          </w:tcPr>
          <w:p w14:paraId="3B2B07C9" w14:textId="12E4DF80"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CD671CC" w14:textId="5BAA1C7F"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9D8AB3A" w14:textId="28141EE9"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182D9D53" w14:textId="5B72644A"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6</w:t>
            </w:r>
          </w:p>
        </w:tc>
      </w:tr>
      <w:tr w:rsidR="00D44D96" w:rsidRPr="008F3ABB" w14:paraId="0EBFAF6F"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48C5F316"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D0B6EED" w14:textId="6363505D"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62</w:t>
            </w:r>
          </w:p>
        </w:tc>
        <w:tc>
          <w:tcPr>
            <w:tcW w:w="2080" w:type="dxa"/>
            <w:tcBorders>
              <w:top w:val="nil"/>
              <w:left w:val="single" w:sz="4" w:space="0" w:color="auto"/>
              <w:bottom w:val="single" w:sz="8" w:space="0" w:color="auto"/>
              <w:right w:val="single" w:sz="8" w:space="0" w:color="auto"/>
            </w:tcBorders>
            <w:vAlign w:val="center"/>
          </w:tcPr>
          <w:p w14:paraId="6AAB756D" w14:textId="740EFB1D"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Tonneau ou citerne 120</w:t>
            </w:r>
            <w:r>
              <w:rPr>
                <w:rFonts w:ascii="Times New Roman" w:hAnsi="Times New Roman"/>
                <w:sz w:val="22"/>
                <w:szCs w:val="22"/>
                <w:lang w:val="fr-BE"/>
              </w:rPr>
              <w:t xml:space="preserve"> </w:t>
            </w:r>
            <w:r w:rsidRPr="001C0167">
              <w:rPr>
                <w:rFonts w:ascii="Times New Roman" w:hAnsi="Times New Roman"/>
                <w:sz w:val="22"/>
                <w:szCs w:val="22"/>
                <w:lang w:val="fr-BE"/>
              </w:rPr>
              <w:t>L</w:t>
            </w:r>
          </w:p>
        </w:tc>
        <w:tc>
          <w:tcPr>
            <w:tcW w:w="897" w:type="dxa"/>
            <w:tcBorders>
              <w:top w:val="nil"/>
              <w:left w:val="nil"/>
              <w:bottom w:val="single" w:sz="8" w:space="0" w:color="auto"/>
              <w:right w:val="single" w:sz="8" w:space="0" w:color="auto"/>
            </w:tcBorders>
            <w:vAlign w:val="center"/>
          </w:tcPr>
          <w:p w14:paraId="4EC4D633" w14:textId="715EE50C"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05A492D" w14:textId="26F2A444"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2B63DB4" w14:textId="45949374"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346A140F" w14:textId="4E7E63D1"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12</w:t>
            </w:r>
          </w:p>
        </w:tc>
      </w:tr>
      <w:tr w:rsidR="00D44D96" w:rsidRPr="008F3ABB" w14:paraId="0F017BC6"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6AB9E13B"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78027F34" w14:textId="7DC486FC"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63</w:t>
            </w:r>
          </w:p>
        </w:tc>
        <w:tc>
          <w:tcPr>
            <w:tcW w:w="2080" w:type="dxa"/>
            <w:tcBorders>
              <w:top w:val="nil"/>
              <w:left w:val="single" w:sz="4" w:space="0" w:color="auto"/>
              <w:bottom w:val="single" w:sz="8" w:space="0" w:color="auto"/>
              <w:right w:val="single" w:sz="8" w:space="0" w:color="auto"/>
            </w:tcBorders>
            <w:vAlign w:val="center"/>
          </w:tcPr>
          <w:p w14:paraId="12D6E7E1" w14:textId="777B70B2"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Tonneau ou citerne 215</w:t>
            </w:r>
            <w:r>
              <w:rPr>
                <w:rFonts w:ascii="Times New Roman" w:hAnsi="Times New Roman"/>
                <w:sz w:val="22"/>
                <w:szCs w:val="22"/>
                <w:lang w:val="fr-BE"/>
              </w:rPr>
              <w:t xml:space="preserve"> </w:t>
            </w:r>
            <w:r w:rsidRPr="001C0167">
              <w:rPr>
                <w:rFonts w:ascii="Times New Roman" w:hAnsi="Times New Roman"/>
                <w:sz w:val="22"/>
                <w:szCs w:val="22"/>
                <w:lang w:val="fr-BE"/>
              </w:rPr>
              <w:t>L</w:t>
            </w:r>
          </w:p>
        </w:tc>
        <w:tc>
          <w:tcPr>
            <w:tcW w:w="897" w:type="dxa"/>
            <w:tcBorders>
              <w:top w:val="nil"/>
              <w:left w:val="nil"/>
              <w:bottom w:val="single" w:sz="8" w:space="0" w:color="auto"/>
              <w:right w:val="single" w:sz="8" w:space="0" w:color="auto"/>
            </w:tcBorders>
            <w:vAlign w:val="center"/>
          </w:tcPr>
          <w:p w14:paraId="598A4B20" w14:textId="6085FC5C"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70E0CB" w14:textId="6FE99F4E"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A6CA13D" w14:textId="70916F31"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8" w:space="0" w:color="auto"/>
              <w:right w:val="single" w:sz="8" w:space="0" w:color="auto"/>
            </w:tcBorders>
            <w:vAlign w:val="center"/>
          </w:tcPr>
          <w:p w14:paraId="647284AA" w14:textId="61C82935"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10</w:t>
            </w:r>
          </w:p>
        </w:tc>
      </w:tr>
      <w:tr w:rsidR="00D44D96" w:rsidRPr="008F3ABB" w14:paraId="21A20288" w14:textId="77777777" w:rsidTr="00D44D96">
        <w:trPr>
          <w:gridAfter w:val="1"/>
          <w:wAfter w:w="29" w:type="dxa"/>
          <w:trHeight w:val="174"/>
        </w:trPr>
        <w:tc>
          <w:tcPr>
            <w:tcW w:w="1951" w:type="dxa"/>
            <w:vMerge/>
            <w:tcBorders>
              <w:left w:val="single" w:sz="4" w:space="0" w:color="auto"/>
              <w:bottom w:val="single" w:sz="4" w:space="0" w:color="auto"/>
              <w:right w:val="single" w:sz="4" w:space="0" w:color="auto"/>
            </w:tcBorders>
            <w:vAlign w:val="center"/>
          </w:tcPr>
          <w:p w14:paraId="46F60CC2"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vAlign w:val="center"/>
          </w:tcPr>
          <w:p w14:paraId="6854404C" w14:textId="559F664E" w:rsidR="00D44D96" w:rsidRDefault="00D44D96" w:rsidP="00BC12DC">
            <w:pPr>
              <w:jc w:val="center"/>
              <w:rPr>
                <w:rFonts w:ascii="Times New Roman" w:hAnsi="Times New Roman"/>
                <w:bCs/>
                <w:color w:val="000000"/>
                <w:sz w:val="22"/>
                <w:szCs w:val="22"/>
                <w:lang w:eastAsia="fr-FR" w:bidi="fr-FR"/>
              </w:rPr>
            </w:pPr>
            <w:r w:rsidRPr="001C0167">
              <w:rPr>
                <w:rFonts w:ascii="Times New Roman" w:hAnsi="Times New Roman"/>
                <w:sz w:val="22"/>
                <w:szCs w:val="22"/>
                <w:lang w:val="fr-BE"/>
              </w:rPr>
              <w:t>64</w:t>
            </w:r>
          </w:p>
        </w:tc>
        <w:tc>
          <w:tcPr>
            <w:tcW w:w="2080" w:type="dxa"/>
            <w:tcBorders>
              <w:top w:val="nil"/>
              <w:left w:val="single" w:sz="4" w:space="0" w:color="auto"/>
              <w:bottom w:val="single" w:sz="4" w:space="0" w:color="auto"/>
              <w:right w:val="single" w:sz="8" w:space="0" w:color="auto"/>
            </w:tcBorders>
            <w:vAlign w:val="center"/>
          </w:tcPr>
          <w:p w14:paraId="03338AF1" w14:textId="5F24B219" w:rsidR="00D44D96" w:rsidRPr="00210523" w:rsidRDefault="00D44D96" w:rsidP="00BC12DC">
            <w:pPr>
              <w:rPr>
                <w:rFonts w:ascii="Times New Roman" w:hAnsi="Times New Roman"/>
                <w:bCs/>
                <w:sz w:val="24"/>
                <w:szCs w:val="24"/>
                <w:lang w:val="fr-BE" w:eastAsia="fr-FR" w:bidi="fr-FR"/>
              </w:rPr>
            </w:pPr>
            <w:r w:rsidRPr="001C0167">
              <w:rPr>
                <w:rFonts w:ascii="Times New Roman" w:hAnsi="Times New Roman"/>
                <w:sz w:val="22"/>
                <w:szCs w:val="22"/>
                <w:lang w:val="fr-BE"/>
              </w:rPr>
              <w:t>Tarière thermique</w:t>
            </w:r>
          </w:p>
        </w:tc>
        <w:tc>
          <w:tcPr>
            <w:tcW w:w="897" w:type="dxa"/>
            <w:tcBorders>
              <w:top w:val="nil"/>
              <w:left w:val="nil"/>
              <w:bottom w:val="single" w:sz="4" w:space="0" w:color="auto"/>
              <w:right w:val="single" w:sz="8" w:space="0" w:color="auto"/>
            </w:tcBorders>
            <w:vAlign w:val="center"/>
          </w:tcPr>
          <w:p w14:paraId="6B65DF2B" w14:textId="0F2F5122" w:rsidR="00D44D96" w:rsidRPr="00FE71A1" w:rsidRDefault="00D44D96" w:rsidP="00BC12DC">
            <w:pPr>
              <w:spacing w:before="0" w:after="0"/>
              <w:jc w:val="center"/>
              <w:outlineLvl w:val="0"/>
              <w:rPr>
                <w:rFonts w:ascii="Times New Roman" w:hAnsi="Times New Roman"/>
                <w:b/>
                <w:bCs/>
                <w:sz w:val="24"/>
                <w:szCs w:val="24"/>
                <w:lang w:val="fr-BE" w:eastAsia="fr-FR" w:bidi="fr-FR"/>
              </w:rPr>
            </w:pPr>
            <w:r w:rsidRPr="00FE71A1">
              <w:rPr>
                <w:rFonts w:ascii="Times New Roman" w:hAnsi="Times New Roman"/>
                <w:b/>
                <w:bCs/>
                <w:sz w:val="22"/>
                <w:szCs w:val="22"/>
                <w:lang w:val="fr-BE"/>
              </w:rPr>
              <w:t>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2F677D" w14:textId="16638E62"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BA20259" w14:textId="045A0884"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nil"/>
              <w:left w:val="nil"/>
              <w:bottom w:val="single" w:sz="4" w:space="0" w:color="auto"/>
              <w:right w:val="single" w:sz="8" w:space="0" w:color="auto"/>
            </w:tcBorders>
            <w:vAlign w:val="center"/>
          </w:tcPr>
          <w:p w14:paraId="5140E54D" w14:textId="56E1BFC0" w:rsidR="00D44D96" w:rsidRPr="00BC12DC" w:rsidRDefault="00D44D96" w:rsidP="00BC12DC">
            <w:pPr>
              <w:spacing w:before="0" w:after="0"/>
              <w:jc w:val="center"/>
              <w:rPr>
                <w:rFonts w:ascii="Times New Roman" w:hAnsi="Times New Roman"/>
                <w:sz w:val="24"/>
                <w:szCs w:val="24"/>
                <w:lang w:eastAsia="fr-FR" w:bidi="fr-FR"/>
              </w:rPr>
            </w:pPr>
            <w:r w:rsidRPr="00BC12DC">
              <w:rPr>
                <w:rFonts w:ascii="Times New Roman" w:hAnsi="Times New Roman"/>
                <w:sz w:val="22"/>
                <w:szCs w:val="22"/>
                <w:lang w:val="fr-BE"/>
              </w:rPr>
              <w:t>2</w:t>
            </w:r>
          </w:p>
        </w:tc>
      </w:tr>
      <w:tr w:rsidR="00D44D96" w:rsidRPr="008F3ABB" w14:paraId="466B5BD5" w14:textId="77777777" w:rsidTr="00D44D96">
        <w:trPr>
          <w:gridAfter w:val="1"/>
          <w:wAfter w:w="29" w:type="dxa"/>
          <w:trHeight w:val="174"/>
        </w:trPr>
        <w:tc>
          <w:tcPr>
            <w:tcW w:w="1951" w:type="dxa"/>
            <w:vMerge w:val="restart"/>
            <w:tcBorders>
              <w:top w:val="single" w:sz="4" w:space="0" w:color="auto"/>
              <w:left w:val="single" w:sz="4" w:space="0" w:color="auto"/>
              <w:right w:val="single" w:sz="4" w:space="0" w:color="auto"/>
            </w:tcBorders>
            <w:vAlign w:val="center"/>
          </w:tcPr>
          <w:p w14:paraId="370B9304" w14:textId="6C6DCA15" w:rsidR="00D44D96" w:rsidRPr="00585448" w:rsidRDefault="00D44D96" w:rsidP="00BC12DC">
            <w:pPr>
              <w:spacing w:before="0" w:after="0"/>
              <w:outlineLvl w:val="0"/>
              <w:rPr>
                <w:rFonts w:ascii="Times New Roman" w:hAnsi="Times New Roman"/>
                <w:b/>
                <w:sz w:val="24"/>
                <w:szCs w:val="24"/>
                <w:lang w:val="fr-BE" w:eastAsia="fr-FR" w:bidi="fr-FR"/>
              </w:rPr>
            </w:pPr>
            <w:r w:rsidRPr="00585448">
              <w:rPr>
                <w:rFonts w:ascii="Times New Roman" w:hAnsi="Times New Roman"/>
                <w:b/>
                <w:sz w:val="24"/>
                <w:szCs w:val="24"/>
                <w:lang w:val="fr-BE" w:eastAsia="fr-FR" w:bidi="fr-FR"/>
              </w:rPr>
              <w:t>N°</w:t>
            </w:r>
            <w:r>
              <w:rPr>
                <w:rFonts w:ascii="Times New Roman" w:hAnsi="Times New Roman"/>
                <w:b/>
                <w:sz w:val="24"/>
                <w:szCs w:val="24"/>
                <w:lang w:val="fr-BE" w:eastAsia="fr-FR" w:bidi="fr-FR"/>
              </w:rPr>
              <w:t>6</w:t>
            </w:r>
            <w:r w:rsidRPr="00702956">
              <w:rPr>
                <w:rFonts w:ascii="Times New Roman" w:hAnsi="Times New Roman"/>
                <w:bCs/>
                <w:sz w:val="24"/>
                <w:szCs w:val="24"/>
                <w:lang w:val="fr-BE" w:eastAsia="fr-FR" w:bidi="fr-FR"/>
              </w:rPr>
              <w:t xml:space="preserve"> : </w:t>
            </w:r>
            <w:r>
              <w:rPr>
                <w:rFonts w:ascii="Times New Roman" w:hAnsi="Times New Roman"/>
                <w:bCs/>
                <w:sz w:val="24"/>
                <w:szCs w:val="24"/>
                <w:lang w:val="fr-BE" w:eastAsia="fr-FR" w:bidi="fr-FR"/>
              </w:rPr>
              <w:t>Equipements de géolocalisation</w:t>
            </w:r>
          </w:p>
        </w:tc>
        <w:tc>
          <w:tcPr>
            <w:tcW w:w="992" w:type="dxa"/>
            <w:tcBorders>
              <w:top w:val="single" w:sz="4" w:space="0" w:color="auto"/>
              <w:left w:val="single" w:sz="4" w:space="0" w:color="auto"/>
              <w:bottom w:val="single" w:sz="4" w:space="0" w:color="auto"/>
              <w:right w:val="single" w:sz="4" w:space="0" w:color="auto"/>
            </w:tcBorders>
          </w:tcPr>
          <w:p w14:paraId="5213D50C" w14:textId="4AEE7C71" w:rsidR="00D44D96" w:rsidRDefault="00D44D96" w:rsidP="00BC12DC">
            <w:pPr>
              <w:jc w:val="cente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1</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5DE109F8" w14:textId="5BEB2E3D" w:rsidR="00D44D96" w:rsidRPr="00210523" w:rsidRDefault="00D44D96" w:rsidP="00BC12DC">
            <w:pPr>
              <w:rPr>
                <w:rFonts w:ascii="Times New Roman" w:hAnsi="Times New Roman"/>
                <w:bCs/>
                <w:sz w:val="24"/>
                <w:szCs w:val="24"/>
                <w:lang w:val="fr-BE" w:eastAsia="fr-FR" w:bidi="fr-FR"/>
              </w:rPr>
            </w:pPr>
            <w:r>
              <w:rPr>
                <w:rFonts w:ascii="Times New Roman" w:hAnsi="Times New Roman"/>
                <w:bCs/>
                <w:sz w:val="24"/>
                <w:szCs w:val="24"/>
                <w:lang w:val="fr-BE" w:eastAsia="fr-FR" w:bidi="fr-FR"/>
              </w:rPr>
              <w:t>GPS</w:t>
            </w:r>
          </w:p>
        </w:tc>
        <w:tc>
          <w:tcPr>
            <w:tcW w:w="897" w:type="dxa"/>
            <w:tcBorders>
              <w:top w:val="single" w:sz="4" w:space="0" w:color="auto"/>
              <w:left w:val="single" w:sz="4" w:space="0" w:color="auto"/>
              <w:bottom w:val="single" w:sz="4" w:space="0" w:color="auto"/>
              <w:right w:val="single" w:sz="4" w:space="0" w:color="auto"/>
            </w:tcBorders>
            <w:vAlign w:val="center"/>
          </w:tcPr>
          <w:p w14:paraId="1D485C6B" w14:textId="3A7B863B" w:rsidR="00D44D96" w:rsidRPr="00BC12DC" w:rsidRDefault="00D44D96" w:rsidP="00BC12DC">
            <w:pPr>
              <w:spacing w:before="0" w:after="0"/>
              <w:jc w:val="center"/>
              <w:outlineLvl w:val="0"/>
              <w:rPr>
                <w:rFonts w:ascii="Times New Roman" w:hAnsi="Times New Roman"/>
                <w:b/>
                <w:bCs/>
                <w:sz w:val="24"/>
                <w:szCs w:val="24"/>
                <w:lang w:val="fr-BE" w:eastAsia="fr-FR" w:bidi="fr-FR"/>
              </w:rPr>
            </w:pPr>
            <w:r w:rsidRPr="00BC12DC">
              <w:rPr>
                <w:rFonts w:ascii="Times New Roman" w:hAnsi="Times New Roman"/>
                <w:b/>
                <w:bCs/>
                <w:sz w:val="22"/>
                <w:szCs w:val="22"/>
                <w:lang w:val="fr-BE"/>
              </w:rPr>
              <w:t>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C0E28DE" w14:textId="722F94B0"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642CF19" w14:textId="26680712"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vAlign w:val="center"/>
          </w:tcPr>
          <w:p w14:paraId="0C0FD511" w14:textId="405D1D73" w:rsidR="00D44D96" w:rsidRPr="006F706F" w:rsidRDefault="00D44D96" w:rsidP="00BC12DC">
            <w:pPr>
              <w:spacing w:before="0" w:after="0"/>
              <w:jc w:val="center"/>
              <w:rPr>
                <w:rFonts w:ascii="Times New Roman" w:hAnsi="Times New Roman"/>
                <w:bCs/>
                <w:sz w:val="24"/>
                <w:szCs w:val="24"/>
                <w:lang w:eastAsia="fr-FR" w:bidi="fr-FR"/>
              </w:rPr>
            </w:pPr>
            <w:r w:rsidRPr="001C0167">
              <w:rPr>
                <w:rFonts w:ascii="Times New Roman" w:hAnsi="Times New Roman"/>
                <w:sz w:val="22"/>
                <w:szCs w:val="22"/>
                <w:lang w:val="fr-BE"/>
              </w:rPr>
              <w:t>16</w:t>
            </w:r>
          </w:p>
        </w:tc>
      </w:tr>
      <w:tr w:rsidR="00D44D96" w:rsidRPr="008F3ABB" w14:paraId="00D6512C"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1FAECFF3"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tcPr>
          <w:p w14:paraId="106C6164" w14:textId="3A28DBC9" w:rsidR="00D44D96" w:rsidRDefault="00D44D96" w:rsidP="00BC12DC">
            <w:pPr>
              <w:jc w:val="cente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2</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28E0F114" w14:textId="1B2308BB" w:rsidR="00D44D96" w:rsidRPr="00210523" w:rsidRDefault="00D44D96" w:rsidP="00BC12DC">
            <w:pPr>
              <w:rPr>
                <w:rFonts w:ascii="Times New Roman" w:hAnsi="Times New Roman"/>
                <w:bCs/>
                <w:sz w:val="24"/>
                <w:szCs w:val="24"/>
                <w:lang w:val="fr-BE" w:eastAsia="fr-FR" w:bidi="fr-FR"/>
              </w:rPr>
            </w:pPr>
            <w:r w:rsidRPr="00DF1262">
              <w:rPr>
                <w:rFonts w:ascii="Times New Roman" w:hAnsi="Times New Roman"/>
                <w:bCs/>
                <w:sz w:val="24"/>
                <w:szCs w:val="24"/>
                <w:lang w:val="fr-BE" w:eastAsia="fr-FR" w:bidi="fr-FR"/>
              </w:rPr>
              <w:t>GPS</w:t>
            </w:r>
          </w:p>
        </w:tc>
        <w:tc>
          <w:tcPr>
            <w:tcW w:w="897" w:type="dxa"/>
            <w:tcBorders>
              <w:top w:val="single" w:sz="4" w:space="0" w:color="auto"/>
              <w:left w:val="single" w:sz="4" w:space="0" w:color="auto"/>
              <w:bottom w:val="single" w:sz="4" w:space="0" w:color="auto"/>
              <w:right w:val="single" w:sz="4" w:space="0" w:color="auto"/>
            </w:tcBorders>
            <w:vAlign w:val="center"/>
          </w:tcPr>
          <w:p w14:paraId="588D4523" w14:textId="2FD9511D" w:rsidR="00D44D96" w:rsidRPr="00BC12DC" w:rsidRDefault="00D44D96" w:rsidP="00BC12DC">
            <w:pPr>
              <w:spacing w:before="0" w:after="0"/>
              <w:jc w:val="center"/>
              <w:outlineLvl w:val="0"/>
              <w:rPr>
                <w:rFonts w:ascii="Times New Roman" w:hAnsi="Times New Roman"/>
                <w:b/>
                <w:bCs/>
                <w:sz w:val="24"/>
                <w:szCs w:val="24"/>
                <w:lang w:val="fr-BE" w:eastAsia="fr-FR" w:bidi="fr-FR"/>
              </w:rPr>
            </w:pPr>
            <w:r w:rsidRPr="00BC12DC">
              <w:rPr>
                <w:rFonts w:ascii="Times New Roman" w:hAnsi="Times New Roman"/>
                <w:b/>
                <w:bCs/>
                <w:sz w:val="22"/>
                <w:szCs w:val="22"/>
                <w:lang w:val="fr-BE"/>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EA22462" w14:textId="7FE3FD00"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5AA72E" w14:textId="686DE36E"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vAlign w:val="center"/>
          </w:tcPr>
          <w:p w14:paraId="49CC78E9" w14:textId="4F3F8E95" w:rsidR="00D44D96" w:rsidRPr="006F706F" w:rsidRDefault="00D44D96" w:rsidP="00BC12DC">
            <w:pPr>
              <w:spacing w:before="0" w:after="0"/>
              <w:jc w:val="center"/>
              <w:rPr>
                <w:rFonts w:ascii="Times New Roman" w:hAnsi="Times New Roman"/>
                <w:bCs/>
                <w:sz w:val="24"/>
                <w:szCs w:val="24"/>
                <w:lang w:eastAsia="fr-FR" w:bidi="fr-FR"/>
              </w:rPr>
            </w:pPr>
            <w:r w:rsidRPr="001C0167">
              <w:rPr>
                <w:rFonts w:ascii="Times New Roman" w:hAnsi="Times New Roman"/>
                <w:sz w:val="22"/>
                <w:szCs w:val="22"/>
                <w:lang w:val="fr-BE"/>
              </w:rPr>
              <w:t>4</w:t>
            </w:r>
          </w:p>
        </w:tc>
      </w:tr>
      <w:tr w:rsidR="00D44D96" w:rsidRPr="008F3ABB" w14:paraId="0E20F168" w14:textId="77777777" w:rsidTr="00D44D96">
        <w:trPr>
          <w:gridAfter w:val="1"/>
          <w:wAfter w:w="29" w:type="dxa"/>
          <w:trHeight w:val="174"/>
        </w:trPr>
        <w:tc>
          <w:tcPr>
            <w:tcW w:w="1951" w:type="dxa"/>
            <w:vMerge/>
            <w:tcBorders>
              <w:left w:val="single" w:sz="4" w:space="0" w:color="auto"/>
              <w:right w:val="single" w:sz="4" w:space="0" w:color="auto"/>
            </w:tcBorders>
            <w:vAlign w:val="center"/>
          </w:tcPr>
          <w:p w14:paraId="38F4ACEC"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tcPr>
          <w:p w14:paraId="1D9AAC75" w14:textId="4C84749A" w:rsidR="00D44D96" w:rsidRDefault="00D44D96" w:rsidP="00BC12DC">
            <w:pPr>
              <w:jc w:val="cente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3</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51D6D7D3" w14:textId="2A12B15F" w:rsidR="00D44D96" w:rsidRPr="00210523" w:rsidRDefault="00D44D96" w:rsidP="00BC12DC">
            <w:pPr>
              <w:rPr>
                <w:rFonts w:ascii="Times New Roman" w:hAnsi="Times New Roman"/>
                <w:bCs/>
                <w:sz w:val="24"/>
                <w:szCs w:val="24"/>
                <w:lang w:val="fr-BE" w:eastAsia="fr-FR" w:bidi="fr-FR"/>
              </w:rPr>
            </w:pPr>
            <w:r w:rsidRPr="00DF1262">
              <w:rPr>
                <w:rFonts w:ascii="Times New Roman" w:hAnsi="Times New Roman"/>
                <w:bCs/>
                <w:sz w:val="24"/>
                <w:szCs w:val="24"/>
                <w:lang w:val="fr-BE" w:eastAsia="fr-FR" w:bidi="fr-FR"/>
              </w:rPr>
              <w:t>GPS</w:t>
            </w:r>
          </w:p>
        </w:tc>
        <w:tc>
          <w:tcPr>
            <w:tcW w:w="897" w:type="dxa"/>
            <w:tcBorders>
              <w:top w:val="single" w:sz="4" w:space="0" w:color="auto"/>
              <w:left w:val="single" w:sz="4" w:space="0" w:color="auto"/>
              <w:bottom w:val="single" w:sz="4" w:space="0" w:color="auto"/>
              <w:right w:val="single" w:sz="4" w:space="0" w:color="auto"/>
            </w:tcBorders>
            <w:vAlign w:val="center"/>
          </w:tcPr>
          <w:p w14:paraId="3A2292E5" w14:textId="3F098A8B" w:rsidR="00D44D96" w:rsidRPr="00BC12DC" w:rsidRDefault="00D44D96" w:rsidP="00BC12DC">
            <w:pPr>
              <w:spacing w:before="0" w:after="0"/>
              <w:jc w:val="center"/>
              <w:outlineLvl w:val="0"/>
              <w:rPr>
                <w:rFonts w:ascii="Times New Roman" w:hAnsi="Times New Roman"/>
                <w:b/>
                <w:bCs/>
                <w:sz w:val="24"/>
                <w:szCs w:val="24"/>
                <w:lang w:val="fr-BE" w:eastAsia="fr-FR" w:bidi="fr-FR"/>
              </w:rPr>
            </w:pPr>
            <w:r w:rsidRPr="00BC12DC">
              <w:rPr>
                <w:rFonts w:ascii="Times New Roman" w:hAnsi="Times New Roman"/>
                <w:b/>
                <w:bCs/>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B6A1B7B" w14:textId="5ABAEBAB"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0AD11AE" w14:textId="4FEFF0DD"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vAlign w:val="center"/>
          </w:tcPr>
          <w:p w14:paraId="5A8C0B70" w14:textId="544DC0BF" w:rsidR="00D44D96" w:rsidRPr="006F706F" w:rsidRDefault="00D44D96" w:rsidP="00BC12DC">
            <w:pPr>
              <w:spacing w:before="0" w:after="0"/>
              <w:jc w:val="center"/>
              <w:rPr>
                <w:rFonts w:ascii="Times New Roman" w:hAnsi="Times New Roman"/>
                <w:bCs/>
                <w:sz w:val="24"/>
                <w:szCs w:val="24"/>
                <w:lang w:eastAsia="fr-FR" w:bidi="fr-FR"/>
              </w:rPr>
            </w:pPr>
            <w:r w:rsidRPr="001C0167">
              <w:rPr>
                <w:rFonts w:ascii="Times New Roman" w:hAnsi="Times New Roman"/>
                <w:sz w:val="22"/>
                <w:szCs w:val="22"/>
                <w:lang w:val="fr-BE"/>
              </w:rPr>
              <w:t>5</w:t>
            </w:r>
          </w:p>
        </w:tc>
      </w:tr>
      <w:tr w:rsidR="00D44D96" w:rsidRPr="008F3ABB" w14:paraId="47217632" w14:textId="77777777" w:rsidTr="00D44D96">
        <w:trPr>
          <w:gridAfter w:val="1"/>
          <w:wAfter w:w="29" w:type="dxa"/>
          <w:trHeight w:val="174"/>
        </w:trPr>
        <w:tc>
          <w:tcPr>
            <w:tcW w:w="1951" w:type="dxa"/>
            <w:vMerge/>
            <w:tcBorders>
              <w:left w:val="single" w:sz="4" w:space="0" w:color="auto"/>
              <w:bottom w:val="single" w:sz="4" w:space="0" w:color="auto"/>
              <w:right w:val="single" w:sz="4" w:space="0" w:color="auto"/>
            </w:tcBorders>
            <w:vAlign w:val="center"/>
          </w:tcPr>
          <w:p w14:paraId="20D9CE51" w14:textId="77777777" w:rsidR="00D44D96" w:rsidRPr="00585448" w:rsidRDefault="00D44D96" w:rsidP="00BC12DC">
            <w:pPr>
              <w:spacing w:before="0" w:after="0"/>
              <w:outlineLvl w:val="0"/>
              <w:rPr>
                <w:rFonts w:ascii="Times New Roman" w:hAnsi="Times New Roman"/>
                <w:b/>
                <w:sz w:val="24"/>
                <w:szCs w:val="24"/>
                <w:lang w:val="fr-BE" w:eastAsia="fr-FR" w:bidi="fr-FR"/>
              </w:rPr>
            </w:pPr>
          </w:p>
        </w:tc>
        <w:tc>
          <w:tcPr>
            <w:tcW w:w="992" w:type="dxa"/>
            <w:tcBorders>
              <w:top w:val="single" w:sz="4" w:space="0" w:color="auto"/>
              <w:left w:val="single" w:sz="4" w:space="0" w:color="auto"/>
              <w:bottom w:val="single" w:sz="4" w:space="0" w:color="auto"/>
              <w:right w:val="single" w:sz="4" w:space="0" w:color="auto"/>
            </w:tcBorders>
          </w:tcPr>
          <w:p w14:paraId="5ECCC15B" w14:textId="107A15D5" w:rsidR="00D44D96" w:rsidRDefault="00D44D96" w:rsidP="00BC12DC">
            <w:pPr>
              <w:jc w:val="center"/>
              <w:rPr>
                <w:rFonts w:ascii="Times New Roman" w:hAnsi="Times New Roman"/>
                <w:bCs/>
                <w:color w:val="000000"/>
                <w:sz w:val="22"/>
                <w:szCs w:val="22"/>
                <w:lang w:eastAsia="fr-FR" w:bidi="fr-FR"/>
              </w:rPr>
            </w:pPr>
            <w:r>
              <w:rPr>
                <w:rFonts w:ascii="Times New Roman" w:hAnsi="Times New Roman"/>
                <w:bCs/>
                <w:color w:val="000000"/>
                <w:sz w:val="22"/>
                <w:szCs w:val="22"/>
                <w:lang w:eastAsia="fr-FR" w:bidi="fr-FR"/>
              </w:rPr>
              <w:t>4</w:t>
            </w:r>
          </w:p>
        </w:tc>
        <w:tc>
          <w:tcPr>
            <w:tcW w:w="2080" w:type="dxa"/>
            <w:tcBorders>
              <w:top w:val="single" w:sz="4" w:space="0" w:color="auto"/>
              <w:left w:val="single" w:sz="4" w:space="0" w:color="auto"/>
              <w:bottom w:val="single" w:sz="4" w:space="0" w:color="auto"/>
              <w:right w:val="single" w:sz="4" w:space="0" w:color="auto"/>
            </w:tcBorders>
            <w:shd w:val="clear" w:color="auto" w:fill="auto"/>
          </w:tcPr>
          <w:p w14:paraId="7022A848" w14:textId="508F3836" w:rsidR="00D44D96" w:rsidRPr="00210523" w:rsidRDefault="00D44D96" w:rsidP="00BC12DC">
            <w:pPr>
              <w:rPr>
                <w:rFonts w:ascii="Times New Roman" w:hAnsi="Times New Roman"/>
                <w:bCs/>
                <w:sz w:val="24"/>
                <w:szCs w:val="24"/>
                <w:lang w:val="fr-BE" w:eastAsia="fr-FR" w:bidi="fr-FR"/>
              </w:rPr>
            </w:pPr>
            <w:r>
              <w:rPr>
                <w:rFonts w:ascii="Times New Roman" w:hAnsi="Times New Roman"/>
                <w:bCs/>
                <w:sz w:val="24"/>
                <w:szCs w:val="24"/>
                <w:lang w:val="fr-BE" w:eastAsia="fr-FR" w:bidi="fr-FR"/>
              </w:rPr>
              <w:t>Boussole</w:t>
            </w:r>
          </w:p>
        </w:tc>
        <w:tc>
          <w:tcPr>
            <w:tcW w:w="897" w:type="dxa"/>
            <w:tcBorders>
              <w:top w:val="single" w:sz="4" w:space="0" w:color="auto"/>
              <w:left w:val="single" w:sz="4" w:space="0" w:color="auto"/>
              <w:bottom w:val="single" w:sz="4" w:space="0" w:color="auto"/>
              <w:right w:val="single" w:sz="4" w:space="0" w:color="auto"/>
            </w:tcBorders>
            <w:vAlign w:val="center"/>
          </w:tcPr>
          <w:p w14:paraId="7C9EC565" w14:textId="6C14DB7F" w:rsidR="00D44D96" w:rsidRPr="00BC12DC" w:rsidRDefault="00D44D96" w:rsidP="00BC12DC">
            <w:pPr>
              <w:spacing w:before="0" w:after="0"/>
              <w:jc w:val="center"/>
              <w:outlineLvl w:val="0"/>
              <w:rPr>
                <w:rFonts w:ascii="Times New Roman" w:hAnsi="Times New Roman"/>
                <w:b/>
                <w:bCs/>
                <w:sz w:val="24"/>
                <w:szCs w:val="24"/>
                <w:lang w:val="fr-BE" w:eastAsia="fr-FR" w:bidi="fr-FR"/>
              </w:rPr>
            </w:pPr>
            <w:r w:rsidRPr="00BC12DC">
              <w:rPr>
                <w:rFonts w:ascii="Times New Roman" w:hAnsi="Times New Roman"/>
                <w:b/>
                <w:bCs/>
                <w:sz w:val="22"/>
                <w:szCs w:val="22"/>
                <w:lang w:val="fr-BE"/>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079B9D" w14:textId="42F81DC9"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8E9D3D7" w14:textId="439B7725" w:rsidR="00D44D96" w:rsidRPr="006F706F" w:rsidRDefault="00D44D96" w:rsidP="00BC12DC">
            <w:pPr>
              <w:spacing w:before="0" w:after="0"/>
              <w:jc w:val="center"/>
              <w:rPr>
                <w:rFonts w:ascii="Times New Roman" w:hAnsi="Times New Roman"/>
                <w:bCs/>
                <w:sz w:val="24"/>
                <w:szCs w:val="24"/>
                <w:lang w:val="fr-BE" w:eastAsia="fr-FR" w:bidi="fr-FR"/>
              </w:rPr>
            </w:pPr>
            <w:r>
              <w:rPr>
                <w:rFonts w:ascii="Times New Roman" w:hAnsi="Times New Roman"/>
                <w:bCs/>
                <w:sz w:val="24"/>
                <w:szCs w:val="24"/>
                <w:lang w:val="fr-BE" w:eastAsia="fr-FR" w:bidi="fr-FR"/>
              </w:rPr>
              <w:t>0</w:t>
            </w:r>
          </w:p>
        </w:tc>
        <w:tc>
          <w:tcPr>
            <w:tcW w:w="992" w:type="dxa"/>
            <w:tcBorders>
              <w:top w:val="single" w:sz="4" w:space="0" w:color="auto"/>
              <w:left w:val="single" w:sz="4" w:space="0" w:color="auto"/>
              <w:bottom w:val="single" w:sz="4" w:space="0" w:color="auto"/>
              <w:right w:val="single" w:sz="4" w:space="0" w:color="auto"/>
            </w:tcBorders>
            <w:vAlign w:val="center"/>
          </w:tcPr>
          <w:p w14:paraId="2D70B80C" w14:textId="45E83854" w:rsidR="00D44D96" w:rsidRPr="006F706F" w:rsidRDefault="00D44D96" w:rsidP="00BC12DC">
            <w:pPr>
              <w:spacing w:before="0" w:after="0"/>
              <w:jc w:val="center"/>
              <w:rPr>
                <w:rFonts w:ascii="Times New Roman" w:hAnsi="Times New Roman"/>
                <w:bCs/>
                <w:sz w:val="24"/>
                <w:szCs w:val="24"/>
                <w:lang w:eastAsia="fr-FR" w:bidi="fr-FR"/>
              </w:rPr>
            </w:pPr>
            <w:r w:rsidRPr="001C0167">
              <w:rPr>
                <w:rFonts w:ascii="Times New Roman" w:hAnsi="Times New Roman"/>
                <w:sz w:val="22"/>
                <w:szCs w:val="22"/>
                <w:lang w:val="fr-BE"/>
              </w:rPr>
              <w:t>5</w:t>
            </w:r>
          </w:p>
        </w:tc>
      </w:tr>
      <w:bookmarkEnd w:id="2"/>
    </w:tbl>
    <w:p w14:paraId="56E06745" w14:textId="77777777" w:rsidR="003A520A" w:rsidRDefault="003A520A" w:rsidP="003A520A">
      <w:pPr>
        <w:spacing w:before="0" w:after="0"/>
        <w:ind w:left="709" w:hanging="142"/>
        <w:jc w:val="both"/>
        <w:rPr>
          <w:rFonts w:ascii="Times New Roman" w:hAnsi="Times New Roman"/>
          <w:sz w:val="22"/>
        </w:rPr>
      </w:pPr>
    </w:p>
    <w:p w14:paraId="2FDFAF37" w14:textId="77777777" w:rsidR="004E477B" w:rsidRDefault="004E477B" w:rsidP="004E477B">
      <w:pPr>
        <w:spacing w:before="0" w:after="0"/>
        <w:ind w:left="709" w:hanging="142"/>
        <w:jc w:val="both"/>
        <w:rPr>
          <w:rFonts w:ascii="Times New Roman" w:hAnsi="Times New Roman"/>
          <w:sz w:val="22"/>
        </w:rPr>
      </w:pPr>
      <w:r>
        <w:rPr>
          <w:rFonts w:ascii="Times New Roman" w:hAnsi="Times New Roman"/>
          <w:sz w:val="22"/>
        </w:rPr>
        <w:t>Un colisage correspondant aux différents destinataires des équipements sera communiqué</w:t>
      </w:r>
    </w:p>
    <w:p w14:paraId="3351A98C" w14:textId="77777777" w:rsidR="004E477B" w:rsidRDefault="004E477B" w:rsidP="004E477B">
      <w:pPr>
        <w:spacing w:before="0" w:after="0"/>
        <w:ind w:left="709" w:hanging="142"/>
        <w:jc w:val="both"/>
        <w:rPr>
          <w:rFonts w:ascii="Times New Roman" w:hAnsi="Times New Roman"/>
          <w:sz w:val="22"/>
        </w:rPr>
      </w:pPr>
      <w:r>
        <w:rPr>
          <w:rFonts w:ascii="Times New Roman" w:hAnsi="Times New Roman"/>
          <w:sz w:val="22"/>
        </w:rPr>
        <w:t>à l’attributaire du marché au moment de la signature du contrat.</w:t>
      </w:r>
    </w:p>
    <w:p w14:paraId="5EE22E28" w14:textId="77777777" w:rsidR="004E477B" w:rsidRDefault="004E477B" w:rsidP="004E477B">
      <w:pPr>
        <w:spacing w:before="0" w:after="0"/>
        <w:ind w:left="709" w:hanging="142"/>
        <w:jc w:val="both"/>
        <w:rPr>
          <w:rFonts w:ascii="Times New Roman" w:hAnsi="Times New Roman"/>
          <w:sz w:val="22"/>
        </w:rPr>
      </w:pPr>
    </w:p>
    <w:p w14:paraId="2611AD9E" w14:textId="2D97D8EE" w:rsidR="004E477B" w:rsidRPr="005E12D4" w:rsidRDefault="004E477B" w:rsidP="004E477B">
      <w:pPr>
        <w:spacing w:before="0" w:after="0"/>
        <w:ind w:left="567"/>
        <w:jc w:val="both"/>
        <w:rPr>
          <w:rFonts w:ascii="Times New Roman" w:hAnsi="Times New Roman"/>
          <w:sz w:val="22"/>
        </w:rPr>
      </w:pPr>
      <w:r w:rsidRPr="005E12D4">
        <w:rPr>
          <w:rFonts w:ascii="Times New Roman" w:hAnsi="Times New Roman"/>
          <w:sz w:val="22"/>
        </w:rPr>
        <w:t>Les livraisons auront lieu à Antana</w:t>
      </w:r>
      <w:r>
        <w:rPr>
          <w:rFonts w:ascii="Times New Roman" w:hAnsi="Times New Roman"/>
          <w:sz w:val="22"/>
        </w:rPr>
        <w:t>na</w:t>
      </w:r>
      <w:r w:rsidRPr="005E12D4">
        <w:rPr>
          <w:rFonts w:ascii="Times New Roman" w:hAnsi="Times New Roman"/>
          <w:sz w:val="22"/>
        </w:rPr>
        <w:t>rivo</w:t>
      </w:r>
      <w:r w:rsidR="00BC075E">
        <w:rPr>
          <w:rFonts w:ascii="Times New Roman" w:hAnsi="Times New Roman"/>
          <w:sz w:val="22"/>
        </w:rPr>
        <w:t xml:space="preserve"> et Angavokely</w:t>
      </w:r>
      <w:r w:rsidRPr="005E12D4">
        <w:rPr>
          <w:rFonts w:ascii="Times New Roman" w:hAnsi="Times New Roman"/>
          <w:sz w:val="22"/>
        </w:rPr>
        <w:t>. Elles seront réparties entre le MinAE</w:t>
      </w:r>
      <w:r w:rsidR="00BC075E">
        <w:rPr>
          <w:rFonts w:ascii="Times New Roman" w:hAnsi="Times New Roman"/>
          <w:sz w:val="22"/>
        </w:rPr>
        <w:t>, le MPEB</w:t>
      </w:r>
      <w:r w:rsidR="002001DB">
        <w:rPr>
          <w:rFonts w:ascii="Times New Roman" w:hAnsi="Times New Roman"/>
          <w:sz w:val="22"/>
        </w:rPr>
        <w:t xml:space="preserve"> et</w:t>
      </w:r>
      <w:r w:rsidRPr="005E12D4">
        <w:rPr>
          <w:rFonts w:ascii="Times New Roman" w:hAnsi="Times New Roman"/>
          <w:sz w:val="22"/>
        </w:rPr>
        <w:t xml:space="preserve"> le MEDD</w:t>
      </w:r>
      <w:r>
        <w:rPr>
          <w:rFonts w:ascii="Times New Roman" w:hAnsi="Times New Roman"/>
          <w:sz w:val="22"/>
        </w:rPr>
        <w:t xml:space="preserve"> </w:t>
      </w:r>
      <w:r w:rsidRPr="005E12D4">
        <w:rPr>
          <w:rFonts w:ascii="Times New Roman" w:hAnsi="Times New Roman"/>
          <w:sz w:val="22"/>
        </w:rPr>
        <w:t>selon le tableau de répartition ci-dessus.</w:t>
      </w:r>
    </w:p>
    <w:p w14:paraId="0F3E4E42" w14:textId="77777777" w:rsidR="004E477B" w:rsidRPr="005E12D4" w:rsidRDefault="004E477B" w:rsidP="004E477B">
      <w:pPr>
        <w:spacing w:before="0" w:after="0"/>
        <w:ind w:left="709" w:hanging="142"/>
        <w:jc w:val="both"/>
        <w:rPr>
          <w:highlight w:val="yellow"/>
        </w:rPr>
      </w:pPr>
    </w:p>
    <w:p w14:paraId="0086F5CD" w14:textId="244FF443" w:rsidR="0047783A" w:rsidRPr="00BC075E" w:rsidRDefault="004E477B" w:rsidP="004E477B">
      <w:pPr>
        <w:ind w:left="567"/>
        <w:jc w:val="both"/>
        <w:rPr>
          <w:rFonts w:ascii="Times New Roman" w:hAnsi="Times New Roman"/>
          <w:b/>
          <w:bCs/>
          <w:sz w:val="22"/>
        </w:rPr>
      </w:pPr>
      <w:r w:rsidRPr="00B804CB">
        <w:rPr>
          <w:rFonts w:ascii="Times New Roman" w:hAnsi="Times New Roman"/>
          <w:sz w:val="22"/>
          <w:lang w:eastAsia="fr-FR" w:bidi="fr-FR"/>
        </w:rPr>
        <w:t>Le marché est en DDP</w:t>
      </w:r>
      <w:r w:rsidRPr="00B804CB">
        <w:rPr>
          <w:rFonts w:ascii="Times New Roman" w:hAnsi="Times New Roman"/>
          <w:sz w:val="22"/>
          <w:vertAlign w:val="superscript"/>
          <w:lang w:eastAsia="fr-FR" w:bidi="fr-FR"/>
        </w:rPr>
        <w:footnoteReference w:id="1"/>
      </w:r>
      <w:r w:rsidRPr="00B804CB">
        <w:rPr>
          <w:rFonts w:ascii="Times New Roman" w:hAnsi="Times New Roman"/>
          <w:sz w:val="22"/>
          <w:lang w:eastAsia="fr-FR" w:bidi="fr-FR"/>
        </w:rPr>
        <w:t xml:space="preserve"> et le délai de livraison est de </w:t>
      </w:r>
      <w:r w:rsidR="00BC075E" w:rsidRPr="00BC075E">
        <w:rPr>
          <w:rFonts w:ascii="Times New Roman" w:hAnsi="Times New Roman"/>
          <w:b/>
          <w:bCs/>
          <w:sz w:val="22"/>
          <w:lang w:eastAsia="fr-FR" w:bidi="fr-FR"/>
        </w:rPr>
        <w:t>60</w:t>
      </w:r>
      <w:r w:rsidRPr="00BC075E">
        <w:rPr>
          <w:rFonts w:ascii="Times New Roman" w:hAnsi="Times New Roman"/>
          <w:b/>
          <w:bCs/>
          <w:sz w:val="22"/>
          <w:lang w:eastAsia="fr-FR" w:bidi="fr-FR"/>
        </w:rPr>
        <w:t xml:space="preserve"> jours.</w:t>
      </w:r>
    </w:p>
    <w:p w14:paraId="54906AC6" w14:textId="77777777" w:rsidR="0047783A" w:rsidRPr="00E82463" w:rsidRDefault="00E82463" w:rsidP="00E82463">
      <w:pPr>
        <w:pStyle w:val="Titre2"/>
        <w:keepNext w:val="0"/>
        <w:ind w:left="567" w:hanging="567"/>
        <w:jc w:val="both"/>
        <w:rPr>
          <w:rFonts w:ascii="Times New Roman" w:hAnsi="Times New Roman"/>
          <w:sz w:val="22"/>
        </w:rPr>
      </w:pPr>
      <w:bookmarkStart w:id="3" w:name="_Ref499723935"/>
      <w:bookmarkStart w:id="4" w:name="_Ref500330319"/>
      <w:r>
        <w:rPr>
          <w:rFonts w:ascii="Times New Roman" w:hAnsi="Times New Roman"/>
          <w:sz w:val="22"/>
        </w:rPr>
        <w:t>1.2</w:t>
      </w:r>
      <w:r>
        <w:rPr>
          <w:rFonts w:ascii="Times New Roman" w:hAnsi="Times New Roman"/>
          <w:sz w:val="22"/>
        </w:rPr>
        <w:tab/>
        <w:t>Les fournitures doivent respecter toutes les spécifications techniques énoncées dans le dossier d’appel d’offres (annexe technique) et être conformes, à tous égards, aux plans, métrés, modèles, échantillons, calibres et autres instructions.</w:t>
      </w:r>
    </w:p>
    <w:bookmarkEnd w:id="3"/>
    <w:bookmarkEnd w:id="4"/>
    <w:p w14:paraId="65FC8B4D" w14:textId="77777777" w:rsidR="0047783A" w:rsidRPr="00E82463" w:rsidRDefault="0047783A" w:rsidP="00FA7847">
      <w:pPr>
        <w:pStyle w:val="Titre2"/>
        <w:spacing w:before="0" w:after="0"/>
        <w:ind w:left="567" w:hanging="567"/>
        <w:jc w:val="both"/>
        <w:rPr>
          <w:rFonts w:ascii="Times New Roman" w:hAnsi="Times New Roman"/>
          <w:sz w:val="22"/>
        </w:rPr>
      </w:pPr>
      <w:r>
        <w:rPr>
          <w:rFonts w:ascii="Times New Roman" w:hAnsi="Times New Roman"/>
          <w:sz w:val="22"/>
        </w:rPr>
        <w:t xml:space="preserve">1.4 </w:t>
      </w:r>
      <w:r>
        <w:rPr>
          <w:rFonts w:ascii="Times New Roman" w:hAnsi="Times New Roman"/>
          <w:sz w:val="22"/>
        </w:rPr>
        <w:tab/>
        <w:t>Les soumissionnaires ne sont pas autorisés à soumettre une variante en plus de la présente offre.</w:t>
      </w:r>
      <w:r>
        <w:rPr>
          <w:rFonts w:ascii="Times New Roman" w:hAnsi="Times New Roman"/>
          <w:sz w:val="22"/>
        </w:rPr>
        <w:br/>
      </w:r>
    </w:p>
    <w:p w14:paraId="2478EAAE" w14:textId="45E98122" w:rsidR="0047783A" w:rsidRDefault="00A633C6" w:rsidP="00FA7847">
      <w:pPr>
        <w:pStyle w:val="Titre1"/>
        <w:spacing w:before="0" w:after="0"/>
      </w:pPr>
      <w:bookmarkStart w:id="5" w:name="_Toc42488071"/>
      <w:r>
        <w:t>2. Calendrier</w:t>
      </w:r>
      <w:bookmarkEnd w:id="5"/>
    </w:p>
    <w:p w14:paraId="2A0BDF60" w14:textId="77777777" w:rsidR="00FA7847" w:rsidRPr="00FA7847" w:rsidRDefault="00FA7847" w:rsidP="00FA7847"/>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Pr>
                <w:rFonts w:ascii="Times New Roman" w:hAnsi="Times New Roman"/>
                <w:b/>
                <w:sz w:val="18"/>
              </w:rPr>
              <w:t>HEURE</w:t>
            </w:r>
          </w:p>
        </w:tc>
      </w:tr>
      <w:tr w:rsidR="00541C3D" w:rsidRPr="00E82463" w14:paraId="65DB2A02" w14:textId="77777777" w:rsidTr="00A4424B">
        <w:tc>
          <w:tcPr>
            <w:tcW w:w="3969" w:type="dxa"/>
            <w:shd w:val="pct10" w:color="auto" w:fill="FFFFFF"/>
          </w:tcPr>
          <w:p w14:paraId="132820BF" w14:textId="77777777" w:rsidR="00541C3D" w:rsidRPr="00E82463" w:rsidRDefault="00541C3D" w:rsidP="00541C3D">
            <w:pPr>
              <w:jc w:val="both"/>
              <w:rPr>
                <w:rFonts w:ascii="Times New Roman" w:hAnsi="Times New Roman"/>
                <w:b/>
                <w:sz w:val="22"/>
              </w:rPr>
            </w:pPr>
            <w:r>
              <w:rPr>
                <w:rFonts w:ascii="Times New Roman" w:hAnsi="Times New Roman"/>
                <w:b/>
                <w:sz w:val="22"/>
              </w:rPr>
              <w:t>Réunion d’information/visite du site (le cas échéant)</w:t>
            </w:r>
          </w:p>
        </w:tc>
        <w:tc>
          <w:tcPr>
            <w:tcW w:w="2410" w:type="dxa"/>
          </w:tcPr>
          <w:p w14:paraId="057CFEC8" w14:textId="1C22A495" w:rsidR="00541C3D" w:rsidRPr="00541C3D" w:rsidRDefault="00541C3D" w:rsidP="00541C3D">
            <w:pPr>
              <w:jc w:val="center"/>
              <w:rPr>
                <w:rFonts w:ascii="Times New Roman" w:hAnsi="Times New Roman"/>
                <w:sz w:val="24"/>
                <w:szCs w:val="24"/>
              </w:rPr>
            </w:pPr>
            <w:r w:rsidRPr="00541C3D">
              <w:rPr>
                <w:rFonts w:ascii="Times New Roman" w:hAnsi="Times New Roman"/>
                <w:sz w:val="24"/>
                <w:szCs w:val="24"/>
              </w:rPr>
              <w:t>Sans objet</w:t>
            </w:r>
          </w:p>
        </w:tc>
        <w:tc>
          <w:tcPr>
            <w:tcW w:w="2268" w:type="dxa"/>
          </w:tcPr>
          <w:p w14:paraId="2746E565" w14:textId="51093529" w:rsidR="00541C3D" w:rsidRPr="00FA7847" w:rsidRDefault="00541C3D" w:rsidP="00541C3D">
            <w:pPr>
              <w:jc w:val="center"/>
              <w:rPr>
                <w:rFonts w:ascii="Times New Roman" w:hAnsi="Times New Roman"/>
                <w:sz w:val="22"/>
              </w:rPr>
            </w:pPr>
            <w:r w:rsidRPr="00FA7847">
              <w:rPr>
                <w:rFonts w:ascii="Times New Roman" w:hAnsi="Times New Roman"/>
                <w:sz w:val="22"/>
                <w:szCs w:val="22"/>
              </w:rPr>
              <w:t>Sans objet</w:t>
            </w:r>
          </w:p>
        </w:tc>
      </w:tr>
      <w:tr w:rsidR="00541C3D" w:rsidRPr="00E82463" w14:paraId="750EA862" w14:textId="77777777" w:rsidTr="00A4424B">
        <w:tc>
          <w:tcPr>
            <w:tcW w:w="3969" w:type="dxa"/>
            <w:shd w:val="pct10" w:color="auto" w:fill="FFFFFF"/>
          </w:tcPr>
          <w:p w14:paraId="23E77229" w14:textId="77777777" w:rsidR="00541C3D" w:rsidRPr="00B35051" w:rsidRDefault="00541C3D" w:rsidP="00541C3D">
            <w:pPr>
              <w:keepNext/>
              <w:rPr>
                <w:rFonts w:ascii="Times New Roman" w:hAnsi="Times New Roman"/>
                <w:b/>
                <w:sz w:val="22"/>
              </w:rPr>
            </w:pPr>
            <w:r>
              <w:rPr>
                <w:rFonts w:ascii="Times New Roman" w:hAnsi="Times New Roman"/>
                <w:b/>
                <w:sz w:val="22"/>
              </w:rPr>
              <w:t>Date limite à laquelle les demandes d’éclaircissements doivent être adressées au pouvoir adjudicateur</w:t>
            </w:r>
          </w:p>
        </w:tc>
        <w:tc>
          <w:tcPr>
            <w:tcW w:w="2410" w:type="dxa"/>
          </w:tcPr>
          <w:p w14:paraId="011343CC" w14:textId="34D46571" w:rsidR="00541C3D" w:rsidRPr="00541C3D" w:rsidRDefault="00541C3D" w:rsidP="00541C3D">
            <w:pPr>
              <w:jc w:val="center"/>
              <w:rPr>
                <w:rFonts w:ascii="Times New Roman" w:hAnsi="Times New Roman"/>
                <w:sz w:val="24"/>
                <w:szCs w:val="24"/>
                <w:highlight w:val="yellow"/>
              </w:rPr>
            </w:pPr>
            <w:r w:rsidRPr="00541C3D">
              <w:rPr>
                <w:rFonts w:ascii="Times New Roman" w:hAnsi="Times New Roman"/>
                <w:sz w:val="24"/>
                <w:szCs w:val="24"/>
              </w:rPr>
              <w:t>09/12/2022</w:t>
            </w:r>
          </w:p>
        </w:tc>
        <w:tc>
          <w:tcPr>
            <w:tcW w:w="2268" w:type="dxa"/>
          </w:tcPr>
          <w:p w14:paraId="5B1CA5BA" w14:textId="49BE613B" w:rsidR="00541C3D" w:rsidRPr="00403B25" w:rsidRDefault="00541C3D" w:rsidP="00541C3D">
            <w:pPr>
              <w:jc w:val="center"/>
              <w:rPr>
                <w:rFonts w:ascii="Times New Roman" w:hAnsi="Times New Roman"/>
                <w:sz w:val="22"/>
              </w:rPr>
            </w:pPr>
            <w:r>
              <w:rPr>
                <w:rFonts w:ascii="Times New Roman" w:hAnsi="Times New Roman"/>
                <w:sz w:val="22"/>
              </w:rPr>
              <w:t>–</w:t>
            </w:r>
          </w:p>
        </w:tc>
      </w:tr>
      <w:tr w:rsidR="00541C3D" w:rsidRPr="00E82463" w14:paraId="3722E57B" w14:textId="77777777" w:rsidTr="00A4424B">
        <w:tc>
          <w:tcPr>
            <w:tcW w:w="3969" w:type="dxa"/>
            <w:shd w:val="pct10" w:color="auto" w:fill="FFFFFF"/>
          </w:tcPr>
          <w:p w14:paraId="4E5EBEC6" w14:textId="77777777" w:rsidR="00541C3D" w:rsidRPr="00E82463" w:rsidRDefault="00541C3D" w:rsidP="00541C3D">
            <w:pPr>
              <w:rPr>
                <w:rFonts w:ascii="Times New Roman" w:hAnsi="Times New Roman"/>
                <w:b/>
                <w:sz w:val="22"/>
              </w:rPr>
            </w:pPr>
            <w:r>
              <w:rPr>
                <w:rFonts w:ascii="Times New Roman" w:hAnsi="Times New Roman"/>
                <w:b/>
                <w:sz w:val="22"/>
              </w:rPr>
              <w:t>Date limite à laquelle le pouvoir adjudicateur doit répondre aux demandes d’éclaircissements</w:t>
            </w:r>
          </w:p>
        </w:tc>
        <w:tc>
          <w:tcPr>
            <w:tcW w:w="2410" w:type="dxa"/>
          </w:tcPr>
          <w:p w14:paraId="23C97F7C" w14:textId="023C1194" w:rsidR="00541C3D" w:rsidRPr="00541C3D" w:rsidRDefault="00541C3D" w:rsidP="00541C3D">
            <w:pPr>
              <w:jc w:val="center"/>
              <w:rPr>
                <w:rFonts w:ascii="Times New Roman" w:hAnsi="Times New Roman"/>
                <w:sz w:val="24"/>
                <w:szCs w:val="24"/>
                <w:highlight w:val="yellow"/>
              </w:rPr>
            </w:pPr>
            <w:r w:rsidRPr="00541C3D">
              <w:rPr>
                <w:rFonts w:ascii="Times New Roman" w:hAnsi="Times New Roman"/>
                <w:sz w:val="24"/>
                <w:szCs w:val="24"/>
              </w:rPr>
              <w:t>22/12/2022</w:t>
            </w:r>
          </w:p>
        </w:tc>
        <w:tc>
          <w:tcPr>
            <w:tcW w:w="2268" w:type="dxa"/>
          </w:tcPr>
          <w:p w14:paraId="042C6B74" w14:textId="48E4CAE2" w:rsidR="00541C3D" w:rsidRPr="00E82463" w:rsidRDefault="00541C3D" w:rsidP="00541C3D">
            <w:pPr>
              <w:jc w:val="center"/>
              <w:rPr>
                <w:rFonts w:ascii="Times New Roman" w:hAnsi="Times New Roman"/>
                <w:sz w:val="22"/>
              </w:rPr>
            </w:pPr>
            <w:r>
              <w:rPr>
                <w:rFonts w:ascii="Times New Roman" w:hAnsi="Times New Roman"/>
                <w:sz w:val="22"/>
              </w:rPr>
              <w:t>–</w:t>
            </w:r>
          </w:p>
        </w:tc>
      </w:tr>
      <w:tr w:rsidR="00541C3D" w:rsidRPr="00E82463" w14:paraId="2C1FA528" w14:textId="77777777" w:rsidTr="00A4424B">
        <w:tc>
          <w:tcPr>
            <w:tcW w:w="3969" w:type="dxa"/>
            <w:shd w:val="pct10" w:color="auto" w:fill="FFFFFF"/>
          </w:tcPr>
          <w:p w14:paraId="50CA7D32" w14:textId="77777777" w:rsidR="00541C3D" w:rsidRPr="00E82463" w:rsidRDefault="00541C3D" w:rsidP="00541C3D">
            <w:pPr>
              <w:jc w:val="both"/>
              <w:rPr>
                <w:rFonts w:ascii="Times New Roman" w:hAnsi="Times New Roman"/>
                <w:b/>
                <w:sz w:val="22"/>
              </w:rPr>
            </w:pPr>
            <w:r>
              <w:rPr>
                <w:rFonts w:ascii="Times New Roman" w:hAnsi="Times New Roman"/>
                <w:b/>
                <w:sz w:val="22"/>
              </w:rPr>
              <w:t>Date limite de soumission des offres</w:t>
            </w:r>
          </w:p>
        </w:tc>
        <w:tc>
          <w:tcPr>
            <w:tcW w:w="2410" w:type="dxa"/>
          </w:tcPr>
          <w:p w14:paraId="0331B505" w14:textId="6ABC0AC4" w:rsidR="00541C3D" w:rsidRPr="00541C3D" w:rsidRDefault="00541C3D" w:rsidP="00541C3D">
            <w:pPr>
              <w:jc w:val="center"/>
              <w:rPr>
                <w:rFonts w:ascii="Times New Roman" w:hAnsi="Times New Roman"/>
                <w:sz w:val="24"/>
                <w:szCs w:val="24"/>
              </w:rPr>
            </w:pPr>
            <w:r w:rsidRPr="00541C3D">
              <w:rPr>
                <w:rFonts w:ascii="Times New Roman" w:hAnsi="Times New Roman"/>
                <w:sz w:val="24"/>
                <w:szCs w:val="24"/>
              </w:rPr>
              <w:t>03/01/2023</w:t>
            </w:r>
          </w:p>
        </w:tc>
        <w:tc>
          <w:tcPr>
            <w:tcW w:w="2268" w:type="dxa"/>
          </w:tcPr>
          <w:p w14:paraId="24FA29BB" w14:textId="5E500BC8" w:rsidR="00541C3D" w:rsidRPr="00E82463" w:rsidRDefault="00541C3D" w:rsidP="00541C3D">
            <w:pPr>
              <w:jc w:val="center"/>
              <w:rPr>
                <w:rFonts w:ascii="Times New Roman" w:hAnsi="Times New Roman"/>
                <w:sz w:val="22"/>
              </w:rPr>
            </w:pPr>
            <w:r>
              <w:rPr>
                <w:rFonts w:ascii="Times New Roman" w:hAnsi="Times New Roman"/>
                <w:sz w:val="22"/>
              </w:rPr>
              <w:t>1</w:t>
            </w:r>
            <w:r>
              <w:rPr>
                <w:rFonts w:ascii="Times New Roman" w:hAnsi="Times New Roman"/>
                <w:sz w:val="22"/>
              </w:rPr>
              <w:t>6</w:t>
            </w:r>
            <w:r>
              <w:rPr>
                <w:rFonts w:ascii="Times New Roman" w:hAnsi="Times New Roman"/>
                <w:sz w:val="22"/>
              </w:rPr>
              <w:t xml:space="preserve"> heures</w:t>
            </w:r>
          </w:p>
        </w:tc>
      </w:tr>
      <w:tr w:rsidR="00541C3D" w:rsidRPr="00E82463" w14:paraId="0190C6E2" w14:textId="77777777" w:rsidTr="00A4424B">
        <w:tc>
          <w:tcPr>
            <w:tcW w:w="3969" w:type="dxa"/>
            <w:shd w:val="pct10" w:color="auto" w:fill="FFFFFF"/>
          </w:tcPr>
          <w:p w14:paraId="550FBF2E" w14:textId="77777777" w:rsidR="00541C3D" w:rsidRPr="00E82463" w:rsidRDefault="00541C3D" w:rsidP="00541C3D">
            <w:pPr>
              <w:jc w:val="both"/>
              <w:rPr>
                <w:rFonts w:ascii="Times New Roman" w:hAnsi="Times New Roman"/>
                <w:b/>
                <w:sz w:val="22"/>
              </w:rPr>
            </w:pPr>
            <w:r>
              <w:rPr>
                <w:rFonts w:ascii="Times New Roman" w:hAnsi="Times New Roman"/>
                <w:b/>
                <w:sz w:val="22"/>
              </w:rPr>
              <w:t>Séance d’ouverture des offres</w:t>
            </w:r>
          </w:p>
        </w:tc>
        <w:tc>
          <w:tcPr>
            <w:tcW w:w="2410" w:type="dxa"/>
          </w:tcPr>
          <w:p w14:paraId="582624C5" w14:textId="5A9DE495" w:rsidR="00541C3D" w:rsidRPr="00541C3D" w:rsidRDefault="00541C3D" w:rsidP="00541C3D">
            <w:pPr>
              <w:jc w:val="center"/>
              <w:rPr>
                <w:rFonts w:ascii="Times New Roman" w:hAnsi="Times New Roman"/>
                <w:sz w:val="24"/>
                <w:szCs w:val="24"/>
              </w:rPr>
            </w:pPr>
            <w:r w:rsidRPr="00541C3D">
              <w:rPr>
                <w:rFonts w:ascii="Times New Roman" w:hAnsi="Times New Roman"/>
                <w:sz w:val="24"/>
                <w:szCs w:val="24"/>
              </w:rPr>
              <w:t>04/01/2023</w:t>
            </w:r>
          </w:p>
        </w:tc>
        <w:tc>
          <w:tcPr>
            <w:tcW w:w="2268" w:type="dxa"/>
          </w:tcPr>
          <w:p w14:paraId="4A5D8A55" w14:textId="3FF34ED3" w:rsidR="00541C3D" w:rsidRPr="00E82463" w:rsidRDefault="00541C3D" w:rsidP="00541C3D">
            <w:pPr>
              <w:jc w:val="center"/>
              <w:rPr>
                <w:rFonts w:ascii="Times New Roman" w:hAnsi="Times New Roman"/>
                <w:sz w:val="22"/>
              </w:rPr>
            </w:pPr>
            <w:r>
              <w:rPr>
                <w:rFonts w:ascii="Times New Roman" w:hAnsi="Times New Roman"/>
                <w:sz w:val="22"/>
                <w:szCs w:val="22"/>
              </w:rPr>
              <w:t>11</w:t>
            </w:r>
            <w:r>
              <w:rPr>
                <w:rFonts w:ascii="Times New Roman" w:hAnsi="Times New Roman"/>
                <w:sz w:val="22"/>
                <w:szCs w:val="22"/>
              </w:rPr>
              <w:t xml:space="preserve"> heures </w:t>
            </w:r>
          </w:p>
        </w:tc>
      </w:tr>
      <w:tr w:rsidR="00541C3D" w:rsidRPr="00E82463" w14:paraId="3B4561D8" w14:textId="77777777" w:rsidTr="00A4424B">
        <w:tc>
          <w:tcPr>
            <w:tcW w:w="3969" w:type="dxa"/>
            <w:shd w:val="pct10" w:color="auto" w:fill="FFFFFF"/>
          </w:tcPr>
          <w:p w14:paraId="2A2A8413" w14:textId="07C6EA8B" w:rsidR="00541C3D" w:rsidRPr="00E82463" w:rsidRDefault="00541C3D" w:rsidP="00541C3D">
            <w:pPr>
              <w:tabs>
                <w:tab w:val="left" w:pos="851"/>
              </w:tabs>
              <w:jc w:val="both"/>
              <w:rPr>
                <w:rFonts w:ascii="Times New Roman" w:hAnsi="Times New Roman"/>
                <w:b/>
                <w:sz w:val="22"/>
              </w:rPr>
            </w:pPr>
            <w:r>
              <w:rPr>
                <w:rFonts w:ascii="Times New Roman" w:hAnsi="Times New Roman"/>
                <w:b/>
                <w:sz w:val="22"/>
              </w:rPr>
              <w:t>Notification de l’attribution à l’attributaire*</w:t>
            </w:r>
          </w:p>
        </w:tc>
        <w:tc>
          <w:tcPr>
            <w:tcW w:w="2410" w:type="dxa"/>
          </w:tcPr>
          <w:p w14:paraId="3C199AAE" w14:textId="0380326F" w:rsidR="00541C3D" w:rsidRPr="00541C3D" w:rsidRDefault="00541C3D" w:rsidP="00541C3D">
            <w:pPr>
              <w:tabs>
                <w:tab w:val="left" w:pos="851"/>
              </w:tabs>
              <w:jc w:val="center"/>
              <w:rPr>
                <w:rFonts w:ascii="Times New Roman" w:hAnsi="Times New Roman"/>
                <w:sz w:val="24"/>
                <w:szCs w:val="24"/>
              </w:rPr>
            </w:pPr>
            <w:r w:rsidRPr="00541C3D">
              <w:rPr>
                <w:rFonts w:ascii="Times New Roman" w:hAnsi="Times New Roman"/>
                <w:sz w:val="24"/>
                <w:szCs w:val="24"/>
              </w:rPr>
              <w:t>19/01/2023</w:t>
            </w:r>
          </w:p>
        </w:tc>
        <w:tc>
          <w:tcPr>
            <w:tcW w:w="2268" w:type="dxa"/>
          </w:tcPr>
          <w:p w14:paraId="3D4FD905" w14:textId="5ACD6E6B" w:rsidR="00541C3D" w:rsidRPr="00E82463" w:rsidRDefault="00541C3D" w:rsidP="00541C3D">
            <w:pPr>
              <w:tabs>
                <w:tab w:val="left" w:pos="851"/>
              </w:tabs>
              <w:jc w:val="center"/>
              <w:rPr>
                <w:rFonts w:ascii="Times New Roman" w:hAnsi="Times New Roman"/>
                <w:sz w:val="22"/>
              </w:rPr>
            </w:pPr>
            <w:r>
              <w:rPr>
                <w:rFonts w:ascii="Times New Roman" w:hAnsi="Times New Roman"/>
                <w:sz w:val="22"/>
              </w:rPr>
              <w:t>–</w:t>
            </w:r>
          </w:p>
        </w:tc>
      </w:tr>
      <w:tr w:rsidR="00541C3D" w:rsidRPr="00E82463" w14:paraId="6F1F217F" w14:textId="77777777" w:rsidTr="00A4424B">
        <w:tc>
          <w:tcPr>
            <w:tcW w:w="3969" w:type="dxa"/>
            <w:shd w:val="pct10" w:color="auto" w:fill="FFFFFF"/>
          </w:tcPr>
          <w:p w14:paraId="6FC76AD1" w14:textId="13178145" w:rsidR="00541C3D" w:rsidRPr="00E82463" w:rsidRDefault="00541C3D" w:rsidP="00541C3D">
            <w:pPr>
              <w:tabs>
                <w:tab w:val="left" w:pos="851"/>
              </w:tabs>
              <w:jc w:val="both"/>
              <w:rPr>
                <w:rFonts w:ascii="Times New Roman" w:hAnsi="Times New Roman"/>
                <w:b/>
                <w:sz w:val="22"/>
              </w:rPr>
            </w:pPr>
            <w:r>
              <w:rPr>
                <w:rFonts w:ascii="Times New Roman" w:hAnsi="Times New Roman"/>
                <w:b/>
                <w:sz w:val="22"/>
              </w:rPr>
              <w:t>Signature du contrat*</w:t>
            </w:r>
          </w:p>
        </w:tc>
        <w:tc>
          <w:tcPr>
            <w:tcW w:w="2410" w:type="dxa"/>
          </w:tcPr>
          <w:p w14:paraId="5059BB7A" w14:textId="00703F41" w:rsidR="00541C3D" w:rsidRPr="00541C3D" w:rsidRDefault="00541C3D" w:rsidP="00541C3D">
            <w:pPr>
              <w:tabs>
                <w:tab w:val="left" w:pos="851"/>
              </w:tabs>
              <w:jc w:val="center"/>
              <w:rPr>
                <w:rFonts w:ascii="Times New Roman" w:hAnsi="Times New Roman"/>
                <w:sz w:val="24"/>
                <w:szCs w:val="24"/>
              </w:rPr>
            </w:pPr>
            <w:r w:rsidRPr="00541C3D">
              <w:rPr>
                <w:rFonts w:ascii="Times New Roman" w:hAnsi="Times New Roman"/>
                <w:sz w:val="24"/>
                <w:szCs w:val="24"/>
              </w:rPr>
              <w:t>03/02/2023</w:t>
            </w:r>
          </w:p>
        </w:tc>
        <w:tc>
          <w:tcPr>
            <w:tcW w:w="2268" w:type="dxa"/>
          </w:tcPr>
          <w:p w14:paraId="1D7A125C" w14:textId="1611F3B0" w:rsidR="00541C3D" w:rsidRPr="00E82463" w:rsidRDefault="00541C3D" w:rsidP="00541C3D">
            <w:pPr>
              <w:tabs>
                <w:tab w:val="left" w:pos="851"/>
              </w:tabs>
              <w:jc w:val="center"/>
              <w:rPr>
                <w:rFonts w:ascii="Times New Roman" w:hAnsi="Times New Roman"/>
                <w:sz w:val="22"/>
              </w:rPr>
            </w:pPr>
            <w:r>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6" w:name="_Ref500317541"/>
      <w:r>
        <w:rPr>
          <w:rFonts w:ascii="Times New Roman" w:hAnsi="Times New Roman"/>
          <w:b/>
        </w:rPr>
        <w:t>* Date provisoire</w:t>
      </w:r>
    </w:p>
    <w:p w14:paraId="6B90190C" w14:textId="36589EAA" w:rsidR="00EC4FD6" w:rsidRPr="0042695A" w:rsidRDefault="00A633C6" w:rsidP="009956B4">
      <w:pPr>
        <w:pStyle w:val="Titre1"/>
      </w:pPr>
      <w:bookmarkStart w:id="7" w:name="_Toc42488072"/>
      <w:bookmarkEnd w:id="6"/>
      <w:r>
        <w:t>3. Participation</w:t>
      </w:r>
      <w:bookmarkEnd w:id="7"/>
    </w:p>
    <w:p w14:paraId="1D6939D3" w14:textId="19A2B1EF" w:rsidR="0047783A" w:rsidRPr="007A0C47" w:rsidRDefault="0047783A" w:rsidP="000A5F76">
      <w:pPr>
        <w:pStyle w:val="Titre2"/>
        <w:keepNext w:val="0"/>
        <w:tabs>
          <w:tab w:val="left" w:pos="709"/>
        </w:tabs>
        <w:ind w:left="567" w:hanging="567"/>
        <w:jc w:val="both"/>
        <w:rPr>
          <w:rFonts w:ascii="Times New Roman" w:hAnsi="Times New Roman"/>
          <w:sz w:val="22"/>
        </w:rPr>
      </w:pPr>
      <w:r>
        <w:rPr>
          <w:rFonts w:ascii="Times New Roman" w:hAnsi="Times New Roman"/>
          <w:sz w:val="22"/>
        </w:rPr>
        <w:t>3.1.</w:t>
      </w:r>
      <w:r>
        <w:rPr>
          <w:rFonts w:ascii="Times New Roman" w:hAnsi="Times New Roman"/>
          <w:sz w:val="22"/>
        </w:rPr>
        <w:tab/>
        <w:t xml:space="preserve">Les conditions d’admissibilité détaillées dans les informations complémentaires concernant l’avis de marché (annexe A5f) ou, le cas échéant, dans l’avis de marché (C2), s’appliquent à tous les membres d’une entreprise commune/d’un consortium, à tous les sous-traitants ainsi qu’à toutes les entités aux capacités desquels le soumissionnaire a recours pour les critères de sélection. Tous les soumissionnaires, tous les membres d’une entreprise commune/d’un </w:t>
      </w:r>
      <w:r>
        <w:rPr>
          <w:rFonts w:ascii="Times New Roman" w:hAnsi="Times New Roman"/>
          <w:sz w:val="22"/>
        </w:rPr>
        <w:lastRenderedPageBreak/>
        <w:t>consortium, toutes les entités pourvoyeuses de capacités et tous les sous-traitants doivent certifier qu’ils remplissent ces conditions. Ils doivent prouver qu’ils remplissent les conditions d’admissibilité par des documents datés de moins d’un an avant la date limite de soumission des offres, établis conformément à leur droit national ou à la pratique ou par des copies des documents originaux relatifs à leur enregistrement et/ou à leur statut juridique, au lieu de leur enregistrement et/ou à leur siège statutaire ainsi que, s’il est différent, au siège de leur administration centrale. Le pouvoir adjudicateur peut accepter d’autres preuves satisfaisantes indiquant que ces conditions sont remplies.</w:t>
      </w:r>
    </w:p>
    <w:p w14:paraId="68DC0A0C" w14:textId="1190E71B" w:rsidR="0047783A" w:rsidRPr="00E82463" w:rsidRDefault="0047783A" w:rsidP="0047783A">
      <w:pPr>
        <w:pStyle w:val="Titre2"/>
        <w:keepNext w:val="0"/>
        <w:tabs>
          <w:tab w:val="left" w:pos="709"/>
        </w:tabs>
        <w:ind w:left="567" w:hanging="567"/>
        <w:jc w:val="both"/>
        <w:rPr>
          <w:rFonts w:ascii="Times New Roman" w:hAnsi="Times New Roman"/>
          <w:sz w:val="22"/>
        </w:rPr>
      </w:pPr>
      <w:r>
        <w:rPr>
          <w:rFonts w:ascii="Times New Roman" w:hAnsi="Times New Roman"/>
          <w:sz w:val="22"/>
        </w:rPr>
        <w:t>3.2.</w:t>
      </w:r>
      <w:r>
        <w:rPr>
          <w:rFonts w:ascii="Times New Roman" w:hAnsi="Times New Roman"/>
          <w:sz w:val="22"/>
        </w:rPr>
        <w:tab/>
        <w:t xml:space="preserve">Les personnes physiques ou morales qui se trouvent dans une des situations visées aux sections 2.4 (mesures restrictives de l’UE), 2.6.10.1 (critères d’exclusion) ou 2.6.10.1.2 (exclusion d’une procédure) du PRAG ne peuvent ni participer au présent appel d’offres ni se voir attribuer un marché. Si elles participent malgré tout au présent appel d’offres, leur offre sera considérée comme inappropriée ou irrégulière, selon le cas. </w:t>
      </w:r>
      <w:r>
        <w:rPr>
          <w:rFonts w:ascii="Times New Roman" w:hAnsi="Times New Roman"/>
          <w:sz w:val="22"/>
          <w:szCs w:val="22"/>
        </w:rPr>
        <w:t>Dans les cas énumérés dans la section 2.6.10.1. du PRAG, les soumissionnaires peuvent également être exclus des procédures financées par l’UE et sont passibles de sanctions financières pouvant atteindre 10 % de la valeur totale du marché, conformément au règlement financier en vigueur. Ces informations peuvent être publiées sur le site internet de la Commission, conformément au règlement financier en vigueur.</w:t>
      </w:r>
      <w:r>
        <w:rPr>
          <w:sz w:val="22"/>
          <w:szCs w:val="22"/>
        </w:rPr>
        <w:t xml:space="preserve"> </w:t>
      </w:r>
      <w:r>
        <w:rPr>
          <w:rFonts w:ascii="Times New Roman" w:hAnsi="Times New Roman"/>
          <w:sz w:val="22"/>
        </w:rPr>
        <w:t>Les soumissionnaires doivent fournir des déclarations sur l’honneur</w:t>
      </w:r>
      <w:r w:rsidR="006B5B42">
        <w:rPr>
          <w:rStyle w:val="Appelnotedebasdep"/>
          <w:rFonts w:ascii="Times New Roman" w:hAnsi="Times New Roman"/>
          <w:sz w:val="22"/>
          <w:lang w:val="en-GB"/>
        </w:rPr>
        <w:footnoteReference w:id="2"/>
      </w:r>
      <w:r>
        <w:rPr>
          <w:rFonts w:ascii="Times New Roman" w:hAnsi="Times New Roman"/>
          <w:sz w:val="22"/>
        </w:rPr>
        <w:t xml:space="preserve"> certifiant qu’ils ne se trouvent dans aucune de ces situations d’exclusion. Ces déclarations doivent être soumises par tous les membres d’une entreprise commune/d’un consortium, par tout sous-traitant et par toute entité pourvoyeuse de capacités. Les soumissionnaires qui se sont rendus coupables de fausses déclarations peuvent en outre être frappés de sanctions financières et d’exclusion, conformément au règlement financier en vigueur. Leur offre sera considérée comme irrégulière.</w:t>
      </w:r>
    </w:p>
    <w:p w14:paraId="5C7A699D" w14:textId="77777777" w:rsidR="0047783A" w:rsidRPr="00E82463" w:rsidRDefault="0047783A" w:rsidP="0047783A">
      <w:pPr>
        <w:pStyle w:val="Titre2"/>
        <w:keepNext w:val="0"/>
        <w:tabs>
          <w:tab w:val="num" w:pos="709"/>
        </w:tabs>
        <w:ind w:left="567"/>
        <w:jc w:val="both"/>
        <w:rPr>
          <w:rFonts w:ascii="Times New Roman" w:hAnsi="Times New Roman"/>
          <w:sz w:val="22"/>
          <w:szCs w:val="22"/>
        </w:rPr>
      </w:pPr>
      <w:r>
        <w:rPr>
          <w:rFonts w:ascii="Times New Roman" w:hAnsi="Times New Roman"/>
          <w:sz w:val="22"/>
        </w:rPr>
        <w:t xml:space="preserve">Les situations d’exclusion visées ci-dessus s’appliquent aussi à tous les membres d’une entreprise commune/d’un consortium, à tous les sous-traitants et à tous les fournisseurs des soumissionnaires, ainsi qu’à toutes les entités aux capacités desquelles le soumissionnaire a recours pour les critères de sélection. </w:t>
      </w:r>
      <w:r>
        <w:rPr>
          <w:rFonts w:ascii="Times New Roman" w:hAnsi="Times New Roman"/>
          <w:sz w:val="22"/>
          <w:szCs w:val="22"/>
        </w:rPr>
        <w:t>En cas de doute à propos de cette déclaration, le pouvoir adjudicateur demandera des pièces justificatives attestant que le sous-traitant et/ou les entités pourvoyeuses de capacités ne se trouvent pas dans une situation d’exclusion.</w:t>
      </w:r>
    </w:p>
    <w:p w14:paraId="5F32A485" w14:textId="7EFEC302" w:rsidR="0047783A" w:rsidRPr="00E82463" w:rsidRDefault="0047783A" w:rsidP="0047783A">
      <w:pPr>
        <w:pStyle w:val="Titre2"/>
        <w:keepNext w:val="0"/>
        <w:tabs>
          <w:tab w:val="num" w:pos="709"/>
          <w:tab w:val="left" w:pos="8080"/>
        </w:tabs>
        <w:ind w:left="567" w:hanging="567"/>
        <w:jc w:val="both"/>
        <w:rPr>
          <w:rFonts w:ascii="Times New Roman" w:hAnsi="Times New Roman"/>
          <w:sz w:val="22"/>
          <w:szCs w:val="22"/>
        </w:rPr>
      </w:pPr>
      <w:r>
        <w:rPr>
          <w:rFonts w:ascii="Times New Roman" w:hAnsi="Times New Roman"/>
          <w:sz w:val="22"/>
          <w:szCs w:val="22"/>
        </w:rPr>
        <w:t>3.3.</w:t>
      </w:r>
      <w:r>
        <w:rPr>
          <w:rFonts w:ascii="Times New Roman" w:hAnsi="Times New Roman"/>
          <w:sz w:val="22"/>
          <w:szCs w:val="22"/>
        </w:rPr>
        <w:tab/>
        <w:t>Pour être admis à participer au présent appel d’offres, les soumissionnaires doivent apporter la preuve, à la satisfaction du pouvoir adjudicateur, qu’ils remplissent les conditions juridiques, techniques et financières requises et qu’ils ont les moyens nécessaires pour exécuter le marché d’une manière effective.</w:t>
      </w:r>
    </w:p>
    <w:p w14:paraId="7164BE93" w14:textId="5B11064C" w:rsidR="00502B15" w:rsidRDefault="0047783A" w:rsidP="00EC571A">
      <w:pPr>
        <w:pStyle w:val="Titre2"/>
        <w:tabs>
          <w:tab w:val="num" w:pos="709"/>
          <w:tab w:val="left" w:pos="792"/>
          <w:tab w:val="left" w:pos="8080"/>
        </w:tabs>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t>Le recours à la sous-traitance est autorisé. Le soumissionnaire et, le cas échéant, les entités aux capacités desquelles le soumissionnaire a recours en ce qui concerne les critères relatifs à la capacité économique et financière sont conjointement responsables de l’exécution du marché.</w:t>
      </w:r>
    </w:p>
    <w:p w14:paraId="23134A1E" w14:textId="15B3BA89" w:rsidR="0069153C" w:rsidRPr="00A4424B" w:rsidRDefault="00502B15" w:rsidP="00FA7847">
      <w:pPr>
        <w:pStyle w:val="Titre2"/>
        <w:tabs>
          <w:tab w:val="num" w:pos="709"/>
          <w:tab w:val="left" w:pos="792"/>
          <w:tab w:val="left" w:pos="8080"/>
        </w:tabs>
        <w:ind w:left="567" w:hanging="567"/>
        <w:jc w:val="both"/>
        <w:rPr>
          <w:rFonts w:ascii="Times New Roman" w:hAnsi="Times New Roman"/>
          <w:sz w:val="22"/>
          <w:szCs w:val="22"/>
        </w:rPr>
      </w:pPr>
      <w:r>
        <w:rPr>
          <w:rFonts w:ascii="Times New Roman" w:hAnsi="Times New Roman"/>
          <w:sz w:val="22"/>
          <w:szCs w:val="22"/>
        </w:rPr>
        <w:tab/>
      </w:r>
      <w:r w:rsidR="00FA7847" w:rsidRPr="00FA7847">
        <w:rPr>
          <w:rFonts w:ascii="Times New Roman" w:hAnsi="Times New Roman"/>
          <w:sz w:val="22"/>
          <w:szCs w:val="22"/>
        </w:rPr>
        <w:t>L</w:t>
      </w:r>
      <w:r w:rsidR="0047783A" w:rsidRPr="00FA7847">
        <w:rPr>
          <w:rFonts w:ascii="Times New Roman" w:hAnsi="Times New Roman"/>
          <w:sz w:val="22"/>
        </w:rPr>
        <w:t>ors de la sélection des sous-traitants, les fournisseurs devraient accorder la préférence aux personnes physiques, sociétés ou entreprises des États ACP capables de livrer les fournitures requises aux mêmes conditions.</w:t>
      </w:r>
    </w:p>
    <w:p w14:paraId="360F1A5F" w14:textId="4CF95F57" w:rsidR="0047783A" w:rsidRPr="001A2BC4" w:rsidRDefault="00A633C6" w:rsidP="009956B4">
      <w:pPr>
        <w:pStyle w:val="Titre1"/>
      </w:pPr>
      <w:bookmarkStart w:id="8" w:name="_Toc42488073"/>
      <w:r>
        <w:t>4. Origine</w:t>
      </w:r>
      <w:bookmarkEnd w:id="8"/>
    </w:p>
    <w:p w14:paraId="31672B84" w14:textId="11DA22E4" w:rsidR="00A808EF" w:rsidRPr="000C23A8" w:rsidRDefault="000A5F76" w:rsidP="00A808EF">
      <w:pPr>
        <w:pStyle w:val="paragraph"/>
        <w:spacing w:before="0" w:beforeAutospacing="0" w:after="0" w:afterAutospacing="0"/>
        <w:textAlignment w:val="baseline"/>
        <w:rPr>
          <w:rFonts w:ascii="Segoe UI" w:hAnsi="Segoe UI" w:cs="Segoe UI"/>
          <w:sz w:val="18"/>
          <w:szCs w:val="18"/>
        </w:rPr>
      </w:pPr>
      <w:r>
        <w:rPr>
          <w:sz w:val="22"/>
        </w:rPr>
        <w:t xml:space="preserve">4.1 </w:t>
      </w:r>
      <w:r>
        <w:rPr>
          <w:sz w:val="22"/>
        </w:rPr>
        <w:tab/>
      </w:r>
    </w:p>
    <w:p w14:paraId="7C736E33" w14:textId="3A887D15" w:rsidR="0047783A" w:rsidRDefault="0047783A" w:rsidP="009956B4">
      <w:pPr>
        <w:pStyle w:val="Titre2"/>
        <w:keepNext w:val="0"/>
        <w:numPr>
          <w:ilvl w:val="1"/>
          <w:numId w:val="0"/>
        </w:numPr>
        <w:ind w:left="567"/>
        <w:jc w:val="both"/>
        <w:rPr>
          <w:rFonts w:ascii="Times New Roman" w:hAnsi="Times New Roman"/>
          <w:sz w:val="22"/>
          <w:szCs w:val="22"/>
        </w:rPr>
      </w:pPr>
      <w:r w:rsidRPr="001D2A2F">
        <w:rPr>
          <w:rFonts w:ascii="Times New Roman" w:hAnsi="Times New Roman"/>
          <w:sz w:val="22"/>
        </w:rPr>
        <w:t xml:space="preserve">Sauf disposition contraire prévue dans le marché ou ci-après, tous les biens achetés dans le cadre du marché doivent provenir d’un État membre de l’Union européenne ou d’un pays ou territoire des régions couvertes et/ou autorisées par les instruments spécifiques applicables au programme indiqué dans les informations complémentaires concernant l’avis de marché (annexe A5f) ou, le cas échéant, dans l’avis de marché (C2). À ces fins, on entend par </w:t>
      </w:r>
      <w:r w:rsidRPr="001D2A2F">
        <w:rPr>
          <w:rFonts w:ascii="Times New Roman" w:hAnsi="Times New Roman"/>
          <w:sz w:val="22"/>
        </w:rPr>
        <w:lastRenderedPageBreak/>
        <w:t>«origine» l’endroit où les biens sont extraits, cultivés, produits ou manufacturés et/ou à partir duquel les services sont fournis. L’origine des biens doit être déterminée conformément aux accords internationaux en la matière (notamment les accords de l’OMC), intégrés dans la législation de l’UE sur les règles d’origine à des fins douanières: le code des douanes [règlement (CEE) nº 2913/92 du Conseil], et notamment ses articles 22 à 246, et ses dispositions d’application [règlement (CEE) nº 2454/93 de la Commission].</w:t>
      </w:r>
      <w:r w:rsidRPr="001D2A2F">
        <w:rPr>
          <w:rFonts w:ascii="Times New Roman" w:hAnsi="Times New Roman"/>
          <w:sz w:val="22"/>
          <w:szCs w:val="22"/>
        </w:rPr>
        <w:t xml:space="preserve"> </w:t>
      </w:r>
      <w:r w:rsidR="001D2A2F">
        <w:rPr>
          <w:rFonts w:ascii="Times New Roman" w:hAnsi="Times New Roman"/>
          <w:sz w:val="22"/>
          <w:szCs w:val="22"/>
        </w:rPr>
        <w:t>L</w:t>
      </w:r>
      <w:r w:rsidRPr="001D2A2F">
        <w:rPr>
          <w:rFonts w:ascii="Times New Roman" w:hAnsi="Times New Roman"/>
          <w:sz w:val="22"/>
          <w:szCs w:val="22"/>
        </w:rPr>
        <w:t>es biens provenant de l’UE incluent les biens provenant des pays et territoires d’outre-mer.</w:t>
      </w:r>
    </w:p>
    <w:p w14:paraId="7F5CB1C5" w14:textId="45136965" w:rsidR="00D33BE3" w:rsidRPr="00C61161" w:rsidRDefault="001D2A2F" w:rsidP="0063744A">
      <w:pPr>
        <w:ind w:left="567"/>
        <w:jc w:val="both"/>
        <w:rPr>
          <w:rFonts w:ascii="Times New Roman" w:hAnsi="Times New Roman"/>
          <w:sz w:val="22"/>
          <w:szCs w:val="22"/>
        </w:rPr>
      </w:pPr>
      <w:r w:rsidRPr="001D2A2F">
        <w:rPr>
          <w:rFonts w:ascii="Times New Roman" w:hAnsi="Times New Roman"/>
          <w:sz w:val="22"/>
          <w:szCs w:val="22"/>
        </w:rPr>
        <w:t>T</w:t>
      </w:r>
      <w:r w:rsidR="00D33BE3" w:rsidRPr="001D2A2F">
        <w:rPr>
          <w:rFonts w:ascii="Times New Roman" w:hAnsi="Times New Roman"/>
          <w:sz w:val="22"/>
          <w:szCs w:val="22"/>
        </w:rPr>
        <w:t>outes les fournitures achetées dans le cadre du présent marché doivent provenir d’un ou de plusieurs des pays ci-dessus.</w:t>
      </w:r>
    </w:p>
    <w:p w14:paraId="43C6843B" w14:textId="14BF2FEB" w:rsidR="004365AD" w:rsidRPr="00E82463" w:rsidRDefault="004365AD" w:rsidP="00E82463">
      <w:pPr>
        <w:pStyle w:val="Titre2"/>
        <w:keepNext w:val="0"/>
        <w:tabs>
          <w:tab w:val="num" w:pos="709"/>
        </w:tabs>
        <w:ind w:left="567"/>
        <w:jc w:val="both"/>
        <w:rPr>
          <w:rFonts w:ascii="Times New Roman" w:hAnsi="Times New Roman"/>
          <w:sz w:val="22"/>
          <w:szCs w:val="22"/>
        </w:rPr>
      </w:pPr>
      <w:r w:rsidRPr="001D2A2F">
        <w:rPr>
          <w:rFonts w:ascii="Times New Roman" w:hAnsi="Times New Roman"/>
          <w:sz w:val="22"/>
        </w:rPr>
        <w:t>Les soumissionnaires doivent fournir un engagement signé par leur représentant par lequel ils certifient leur conformité à cette exigence. Le soumissionnaire est tenu de s’assurer de l’exactitude des informations fournies. À défaut, il s’expose à une exclusion pour négligence de fausse déclaration. Pour plus de détails, voir la section 2.3.5. du PRAG.</w:t>
      </w:r>
    </w:p>
    <w:p w14:paraId="31CBABF1" w14:textId="77777777" w:rsidR="0047783A" w:rsidRDefault="0047783A" w:rsidP="0047783A">
      <w:pPr>
        <w:pStyle w:val="Titre2"/>
        <w:keepNext w:val="0"/>
        <w:ind w:left="567" w:hanging="567"/>
        <w:jc w:val="both"/>
        <w:rPr>
          <w:rFonts w:ascii="Times New Roman" w:hAnsi="Times New Roman"/>
          <w:sz w:val="22"/>
        </w:rPr>
      </w:pPr>
      <w:r>
        <w:rPr>
          <w:rFonts w:ascii="Times New Roman" w:hAnsi="Times New Roman"/>
          <w:sz w:val="22"/>
        </w:rPr>
        <w:t>4.2</w:t>
      </w:r>
      <w:r>
        <w:rPr>
          <w:rFonts w:ascii="Times New Roman" w:hAnsi="Times New Roman"/>
          <w:sz w:val="22"/>
        </w:rPr>
        <w:tab/>
        <w:t>Lorsqu’ils soumettent leur offre, les soumissionnaires doivent déclarer expressément que tous les biens sont conformes aux exigences en matière d’origine et mentionner les pays d’origine. Il peut leur être demandé de fournir des informations complémentaires à cet égard.</w:t>
      </w:r>
    </w:p>
    <w:p w14:paraId="60C6066D" w14:textId="63314A8D" w:rsidR="0047783A" w:rsidRPr="001A2BC4" w:rsidRDefault="00A633C6" w:rsidP="009956B4">
      <w:pPr>
        <w:pStyle w:val="Titre1"/>
      </w:pPr>
      <w:bookmarkStart w:id="9" w:name="_Toc42488074"/>
      <w:r>
        <w:t>5. Type de marché</w:t>
      </w:r>
      <w:bookmarkEnd w:id="9"/>
    </w:p>
    <w:p w14:paraId="27F17544" w14:textId="4D0D88D4" w:rsidR="0047783A" w:rsidRPr="00E82463" w:rsidRDefault="001D2A2F" w:rsidP="0047783A">
      <w:pPr>
        <w:pStyle w:val="Titre2"/>
        <w:keepNext w:val="0"/>
        <w:ind w:left="567"/>
        <w:jc w:val="both"/>
        <w:rPr>
          <w:rFonts w:ascii="Times New Roman" w:hAnsi="Times New Roman"/>
          <w:sz w:val="22"/>
        </w:rPr>
      </w:pPr>
      <w:r w:rsidRPr="001D2A2F">
        <w:rPr>
          <w:rFonts w:ascii="Times New Roman" w:hAnsi="Times New Roman"/>
          <w:sz w:val="22"/>
        </w:rPr>
        <w:t>P</w:t>
      </w:r>
      <w:r w:rsidR="00D8732D" w:rsidRPr="001D2A2F">
        <w:rPr>
          <w:rFonts w:ascii="Times New Roman" w:hAnsi="Times New Roman"/>
          <w:sz w:val="22"/>
        </w:rPr>
        <w:t>rix unitaire</w:t>
      </w:r>
      <w:r>
        <w:rPr>
          <w:rFonts w:ascii="Times New Roman" w:hAnsi="Times New Roman"/>
          <w:sz w:val="22"/>
        </w:rPr>
        <w:t>.</w:t>
      </w:r>
    </w:p>
    <w:p w14:paraId="752C7A3B" w14:textId="56AFA5FE" w:rsidR="0047783A" w:rsidRPr="001A2BC4" w:rsidRDefault="00A633C6" w:rsidP="009956B4">
      <w:pPr>
        <w:pStyle w:val="Titre1"/>
      </w:pPr>
      <w:bookmarkStart w:id="10" w:name="_Toc42488075"/>
      <w:r>
        <w:t>6. Monnaie</w:t>
      </w:r>
      <w:bookmarkEnd w:id="10"/>
    </w:p>
    <w:p w14:paraId="465A230B" w14:textId="1E7EBBB4" w:rsidR="0047783A" w:rsidRPr="00E82463" w:rsidRDefault="0047783A" w:rsidP="0047783A">
      <w:pPr>
        <w:pStyle w:val="Titre2"/>
        <w:keepNext w:val="0"/>
        <w:ind w:left="567"/>
        <w:jc w:val="both"/>
        <w:rPr>
          <w:rFonts w:ascii="Times New Roman" w:hAnsi="Times New Roman"/>
          <w:sz w:val="22"/>
        </w:rPr>
      </w:pPr>
      <w:r>
        <w:rPr>
          <w:rFonts w:ascii="Times New Roman" w:hAnsi="Times New Roman"/>
          <w:sz w:val="22"/>
          <w:szCs w:val="22"/>
        </w:rPr>
        <w:t>Les offres doivent être libellées en</w:t>
      </w:r>
      <w:r>
        <w:rPr>
          <w:rFonts w:ascii="Times New Roman" w:hAnsi="Times New Roman"/>
          <w:bCs/>
          <w:sz w:val="22"/>
          <w:szCs w:val="22"/>
        </w:rPr>
        <w:t xml:space="preserve"> </w:t>
      </w:r>
      <w:r w:rsidR="001D2A2F">
        <w:rPr>
          <w:rFonts w:ascii="Times New Roman" w:hAnsi="Times New Roman"/>
          <w:bCs/>
          <w:sz w:val="22"/>
          <w:szCs w:val="22"/>
        </w:rPr>
        <w:t>MGA</w:t>
      </w:r>
      <w:r w:rsidRPr="00E82463">
        <w:rPr>
          <w:rStyle w:val="Appelnotedebasdep"/>
          <w:rFonts w:ascii="Times New Roman" w:hAnsi="Times New Roman"/>
          <w:sz w:val="22"/>
          <w:lang w:val="en-GB"/>
        </w:rPr>
        <w:footnoteReference w:id="3"/>
      </w:r>
      <w:r>
        <w:rPr>
          <w:rFonts w:ascii="Times New Roman" w:hAnsi="Times New Roman"/>
          <w:sz w:val="22"/>
        </w:rPr>
        <w:t>.</w:t>
      </w:r>
    </w:p>
    <w:p w14:paraId="0AFF2F59" w14:textId="1E3A7F09" w:rsidR="0047783A" w:rsidRDefault="00A633C6" w:rsidP="009956B4">
      <w:pPr>
        <w:pStyle w:val="Titre1"/>
      </w:pPr>
      <w:bookmarkStart w:id="11" w:name="_Toc42488076"/>
      <w:r>
        <w:t>7. Lots</w:t>
      </w:r>
      <w:bookmarkEnd w:id="11"/>
    </w:p>
    <w:p w14:paraId="78FC634A" w14:textId="77777777" w:rsidR="009F2DB9" w:rsidRPr="002052C7" w:rsidRDefault="009F2DB9" w:rsidP="009F2DB9">
      <w:pPr>
        <w:pStyle w:val="Titre2"/>
        <w:keepNext w:val="0"/>
        <w:ind w:left="567" w:hanging="567"/>
        <w:jc w:val="both"/>
        <w:rPr>
          <w:rFonts w:ascii="Times New Roman" w:hAnsi="Times New Roman"/>
          <w:sz w:val="22"/>
        </w:rPr>
      </w:pPr>
      <w:r w:rsidRPr="002052C7">
        <w:rPr>
          <w:rFonts w:ascii="Times New Roman" w:hAnsi="Times New Roman"/>
          <w:sz w:val="22"/>
        </w:rPr>
        <w:t>7.1</w:t>
      </w:r>
      <w:r w:rsidRPr="002052C7">
        <w:rPr>
          <w:rFonts w:ascii="Times New Roman" w:hAnsi="Times New Roman"/>
          <w:sz w:val="22"/>
        </w:rPr>
        <w:tab/>
        <w:t xml:space="preserve">Le soumissionnaire peut soumettre une offre pour plusieurs lots. </w:t>
      </w:r>
    </w:p>
    <w:p w14:paraId="057A11B0" w14:textId="77777777" w:rsidR="009F2DB9" w:rsidRPr="002052C7" w:rsidRDefault="009F2DB9" w:rsidP="009F2DB9">
      <w:pPr>
        <w:pStyle w:val="Titre2"/>
        <w:keepNext w:val="0"/>
        <w:ind w:left="567" w:hanging="567"/>
        <w:jc w:val="both"/>
        <w:rPr>
          <w:rFonts w:ascii="Times New Roman" w:hAnsi="Times New Roman"/>
        </w:rPr>
      </w:pPr>
      <w:r w:rsidRPr="002052C7">
        <w:rPr>
          <w:rFonts w:ascii="Times New Roman" w:hAnsi="Times New Roman"/>
          <w:sz w:val="22"/>
        </w:rPr>
        <w:t>7.2</w:t>
      </w:r>
      <w:r w:rsidRPr="002052C7">
        <w:rPr>
          <w:rFonts w:ascii="Times New Roman" w:hAnsi="Times New Roman"/>
          <w:sz w:val="22"/>
        </w:rPr>
        <w:tab/>
        <w:t>Chaque lot fera l’objet d’un contrat distinct et les quantités indiquées pour les différents lots seront indivisibles. Le soumissionnaire doit offrir l’ensemble de la ou des quantités indiquées pour chaque lot. Les offres partielles ne doivent en aucun cas être prises en considération. Si un soumissionnaire remporte plusieurs lots, un seul contrat portant sur l’ensemble de ces lots peut être conclu.</w:t>
      </w:r>
    </w:p>
    <w:p w14:paraId="37052D88" w14:textId="77777777" w:rsidR="009F2DB9" w:rsidRPr="002052C7" w:rsidRDefault="009F2DB9" w:rsidP="009F2DB9">
      <w:pPr>
        <w:pStyle w:val="Titre2"/>
        <w:keepNext w:val="0"/>
        <w:ind w:left="567" w:hanging="567"/>
        <w:jc w:val="both"/>
        <w:rPr>
          <w:rFonts w:ascii="Times New Roman" w:hAnsi="Times New Roman"/>
          <w:sz w:val="22"/>
        </w:rPr>
      </w:pPr>
      <w:r w:rsidRPr="002052C7">
        <w:rPr>
          <w:rFonts w:ascii="Times New Roman" w:hAnsi="Times New Roman"/>
          <w:sz w:val="22"/>
        </w:rPr>
        <w:t>7.3</w:t>
      </w:r>
      <w:r w:rsidRPr="002052C7">
        <w:rPr>
          <w:rFonts w:ascii="Times New Roman" w:hAnsi="Times New Roman"/>
          <w:sz w:val="22"/>
        </w:rPr>
        <w:tab/>
        <w:t>Le soumissionnaire peut faire figurer dans son offre la remise globale qu’il consentirait en cas d’attribution de certains lots ou de tous les lots pour lesquels il a soumis une offre. La remise doit être clairement indiquée pour chaque lot de manière à pouvoir être annoncée lors de la séance publique d’ouverture des offres.</w:t>
      </w:r>
    </w:p>
    <w:p w14:paraId="5CB094C5" w14:textId="77777777" w:rsidR="009F2DB9" w:rsidRPr="002052C7" w:rsidRDefault="009F2DB9" w:rsidP="009F2DB9">
      <w:pPr>
        <w:pStyle w:val="Titre2"/>
        <w:keepNext w:val="0"/>
        <w:ind w:left="567" w:hanging="567"/>
        <w:jc w:val="both"/>
        <w:rPr>
          <w:rFonts w:ascii="Times New Roman" w:hAnsi="Times New Roman"/>
        </w:rPr>
      </w:pPr>
      <w:r w:rsidRPr="002052C7">
        <w:rPr>
          <w:rFonts w:ascii="Times New Roman" w:hAnsi="Times New Roman"/>
          <w:sz w:val="22"/>
          <w:szCs w:val="22"/>
        </w:rPr>
        <w:t>7.4</w:t>
      </w:r>
      <w:r w:rsidRPr="002052C7">
        <w:rPr>
          <w:rFonts w:ascii="Times New Roman" w:hAnsi="Times New Roman"/>
          <w:sz w:val="22"/>
          <w:szCs w:val="22"/>
        </w:rPr>
        <w:tab/>
        <w:t>L’attribution du marché se fera lot par lot, mais le pouvoir adjudicateur peut choisir la solution globale la plus avantageuse après avoir tenu compte des remises consenties</w:t>
      </w:r>
      <w:r w:rsidRPr="002052C7">
        <w:rPr>
          <w:rFonts w:ascii="Times New Roman" w:hAnsi="Times New Roman"/>
        </w:rPr>
        <w:t>.</w:t>
      </w:r>
    </w:p>
    <w:p w14:paraId="6D535022" w14:textId="71C8CD35" w:rsidR="0047783A" w:rsidRPr="001A2BC4" w:rsidRDefault="00A633C6" w:rsidP="009956B4">
      <w:pPr>
        <w:pStyle w:val="Titre1"/>
      </w:pPr>
      <w:bookmarkStart w:id="12" w:name="_Toc42488077"/>
      <w:r>
        <w:t>8. Période de validité</w:t>
      </w:r>
      <w:bookmarkEnd w:id="12"/>
    </w:p>
    <w:p w14:paraId="30360BC8" w14:textId="77777777" w:rsidR="0047783A" w:rsidRPr="00E82463" w:rsidRDefault="0047783A" w:rsidP="0047783A">
      <w:pPr>
        <w:pStyle w:val="Titre2"/>
        <w:keepNext w:val="0"/>
        <w:tabs>
          <w:tab w:val="num" w:pos="567"/>
        </w:tabs>
        <w:ind w:left="567" w:hanging="567"/>
        <w:jc w:val="both"/>
        <w:rPr>
          <w:rFonts w:ascii="Times New Roman" w:hAnsi="Times New Roman"/>
          <w:sz w:val="22"/>
        </w:rPr>
      </w:pPr>
      <w:r>
        <w:rPr>
          <w:rFonts w:ascii="Times New Roman" w:hAnsi="Times New Roman"/>
          <w:sz w:val="22"/>
        </w:rPr>
        <w:t>8.1</w:t>
      </w:r>
      <w:r>
        <w:rPr>
          <w:rFonts w:ascii="Times New Roman" w:hAnsi="Times New Roman"/>
          <w:sz w:val="22"/>
        </w:rPr>
        <w:tab/>
        <w:t>Les soumissionnaires restent liés par leur offre pendant une période de 90 jours à compter de la date limite de soumission des offres.</w:t>
      </w:r>
    </w:p>
    <w:p w14:paraId="246ED2FF" w14:textId="77777777" w:rsidR="0047783A" w:rsidRPr="00E66FD7" w:rsidRDefault="0047783A" w:rsidP="0047783A">
      <w:pPr>
        <w:pStyle w:val="Titre2"/>
        <w:keepNext w:val="0"/>
        <w:tabs>
          <w:tab w:val="num" w:pos="567"/>
        </w:tabs>
        <w:ind w:left="567" w:hanging="567"/>
        <w:jc w:val="both"/>
        <w:rPr>
          <w:rFonts w:ascii="Times New Roman" w:hAnsi="Times New Roman"/>
          <w:sz w:val="22"/>
        </w:rPr>
      </w:pPr>
      <w:r>
        <w:rPr>
          <w:rFonts w:ascii="Times New Roman" w:hAnsi="Times New Roman"/>
          <w:sz w:val="22"/>
        </w:rPr>
        <w:lastRenderedPageBreak/>
        <w:t>8.2</w:t>
      </w:r>
      <w:r>
        <w:rPr>
          <w:rFonts w:ascii="Times New Roman" w:hAnsi="Times New Roman"/>
          <w:sz w:val="22"/>
        </w:rPr>
        <w:tab/>
        <w:t>Dans des cas exceptionnels et avant l’expiration de la période initiale de validité de l’offre, le pouvoir adjudicateur peut demander par écrit aux soumissionnaires de prolonger cette période de 40 jours. Ces demandes et les réponses à ces dernières doivent être faites par écrit. Les soumissionnaires qui acceptent de prolonger la période de validité de leur offre ne seront pas autorisés à modifier leur offre et sont tenus de prolonger la validité de leur garantie de soumission afin de couvrir la période de validité révisée de l’offre. En cas de refus, leur participation à l’appel d’offres prend fin sans qu’ils perdent leur garantie de soumission. Lorsque le pouvoir adjudicateur est tenu d’obtenir la recommandation de l’instance visée dans la section 2.6.10.1.1 du PRAG, il peut demander, avant que celle-ci n’expire, que la période de validité des offres soit prolongée jusqu’à l’adoption de cette recommandation.</w:t>
      </w:r>
    </w:p>
    <w:p w14:paraId="4AA14439" w14:textId="77777777" w:rsidR="0047783A" w:rsidRPr="00E82463" w:rsidRDefault="0047783A" w:rsidP="00AC07D4">
      <w:pPr>
        <w:tabs>
          <w:tab w:val="num" w:pos="567"/>
        </w:tabs>
        <w:ind w:left="567" w:hanging="567"/>
        <w:jc w:val="both"/>
        <w:rPr>
          <w:rFonts w:ascii="Times New Roman" w:hAnsi="Times New Roman"/>
        </w:rPr>
      </w:pPr>
      <w:r>
        <w:rPr>
          <w:rFonts w:ascii="Times New Roman" w:hAnsi="Times New Roman"/>
          <w:sz w:val="22"/>
          <w:szCs w:val="22"/>
        </w:rPr>
        <w:t>8.3</w:t>
      </w:r>
      <w:r>
        <w:rPr>
          <w:rFonts w:ascii="Times New Roman" w:hAnsi="Times New Roman"/>
          <w:sz w:val="22"/>
          <w:szCs w:val="22"/>
        </w:rPr>
        <w:tab/>
        <w:t>L’attributaire reste engagé par son offre pendant une période supplémentaire de 60 jours. La période supplémentaire est ajoutée à</w:t>
      </w:r>
      <w:r>
        <w:rPr>
          <w:rFonts w:ascii="Times New Roman" w:hAnsi="Times New Roman"/>
          <w:sz w:val="22"/>
        </w:rPr>
        <w:t xml:space="preserve"> la période de validité de </w:t>
      </w:r>
      <w:r>
        <w:rPr>
          <w:rFonts w:ascii="Times New Roman" w:hAnsi="Times New Roman"/>
          <w:sz w:val="22"/>
          <w:szCs w:val="22"/>
        </w:rPr>
        <w:t>l’offre</w:t>
      </w:r>
      <w:r>
        <w:rPr>
          <w:rFonts w:ascii="Times New Roman" w:hAnsi="Times New Roman"/>
          <w:sz w:val="22"/>
        </w:rPr>
        <w:t>, quelle que soit la date de notification.</w:t>
      </w:r>
    </w:p>
    <w:p w14:paraId="27C31267" w14:textId="562313E7" w:rsidR="0047783A" w:rsidRPr="001A2BC4" w:rsidRDefault="00A633C6" w:rsidP="009956B4">
      <w:pPr>
        <w:pStyle w:val="Titre1"/>
      </w:pPr>
      <w:bookmarkStart w:id="13" w:name="_Ref500330462"/>
      <w:r>
        <w:t xml:space="preserve">9. </w:t>
      </w:r>
      <w:bookmarkStart w:id="14" w:name="_Toc42488078"/>
      <w:r>
        <w:t>Langue des</w:t>
      </w:r>
      <w:bookmarkEnd w:id="14"/>
      <w:r>
        <w:t xml:space="preserve"> offres</w:t>
      </w:r>
    </w:p>
    <w:bookmarkEnd w:id="13"/>
    <w:p w14:paraId="01A5CF24" w14:textId="3C9DDD45" w:rsidR="0047783A" w:rsidRPr="00E82463" w:rsidRDefault="0047783A" w:rsidP="0047783A">
      <w:pPr>
        <w:pStyle w:val="Titre2"/>
        <w:keepNext w:val="0"/>
        <w:ind w:left="567" w:hanging="567"/>
        <w:jc w:val="both"/>
        <w:rPr>
          <w:rFonts w:ascii="Times New Roman" w:hAnsi="Times New Roman"/>
          <w:sz w:val="22"/>
        </w:rPr>
      </w:pPr>
      <w:r>
        <w:rPr>
          <w:rFonts w:ascii="Times New Roman" w:hAnsi="Times New Roman"/>
          <w:sz w:val="22"/>
        </w:rPr>
        <w:t>9.1</w:t>
      </w:r>
      <w:r>
        <w:rPr>
          <w:rFonts w:ascii="Times New Roman" w:hAnsi="Times New Roman"/>
          <w:sz w:val="22"/>
        </w:rPr>
        <w:tab/>
        <w:t xml:space="preserve">Les offres, la correspondance et les documents associés </w:t>
      </w:r>
      <w:r w:rsidR="001D2A2F">
        <w:rPr>
          <w:rFonts w:ascii="Times New Roman" w:hAnsi="Times New Roman"/>
          <w:sz w:val="22"/>
        </w:rPr>
        <w:t>aux offres échangées</w:t>
      </w:r>
      <w:r>
        <w:rPr>
          <w:rFonts w:ascii="Times New Roman" w:hAnsi="Times New Roman"/>
          <w:sz w:val="22"/>
        </w:rPr>
        <w:t xml:space="preserve"> entre le soumissionnaire et le pouvoir adjudicateur doivent être rédigés dans la langue de la procédure, à savoir le français.</w:t>
      </w:r>
    </w:p>
    <w:p w14:paraId="510843C3" w14:textId="77777777" w:rsidR="0047783A" w:rsidRPr="00E82463" w:rsidRDefault="0047783A" w:rsidP="0047783A">
      <w:pPr>
        <w:pStyle w:val="Titre2"/>
        <w:keepNext w:val="0"/>
        <w:ind w:left="567"/>
        <w:jc w:val="both"/>
        <w:rPr>
          <w:rFonts w:ascii="Times New Roman" w:hAnsi="Times New Roman"/>
          <w:sz w:val="22"/>
        </w:rPr>
      </w:pPr>
      <w:r>
        <w:rPr>
          <w:rFonts w:ascii="Times New Roman" w:hAnsi="Times New Roman"/>
          <w:sz w:val="22"/>
        </w:rPr>
        <w:t>Si les pièces justificatives ne sont pas rédigées dans l’une des langues officielles de l’Union européenne, une traduction dans la langue de l’appel d’offres doit être jointe. Lorsque les documents sont rédigés dans une langue officielle de l’Union européenne autre que le français, il est vivement recommandé de fournir une traduction en français afin de faciliter leur évaluation.</w:t>
      </w:r>
    </w:p>
    <w:p w14:paraId="451C65B5" w14:textId="489964BE" w:rsidR="0047783A" w:rsidRPr="001A2BC4" w:rsidRDefault="00A633C6" w:rsidP="009956B4">
      <w:pPr>
        <w:pStyle w:val="Titre1"/>
      </w:pPr>
      <w:bookmarkStart w:id="15" w:name="_Toc42488079"/>
      <w:r>
        <w:t>10. Soumission des offres</w:t>
      </w:r>
      <w:bookmarkEnd w:id="15"/>
    </w:p>
    <w:p w14:paraId="498A0855" w14:textId="77777777" w:rsidR="001D2A2F" w:rsidRDefault="0047783A" w:rsidP="001D2A2F">
      <w:pPr>
        <w:ind w:left="567" w:hanging="567"/>
        <w:rPr>
          <w:rFonts w:ascii="Times New Roman" w:hAnsi="Times New Roman"/>
          <w:sz w:val="22"/>
        </w:rPr>
      </w:pPr>
      <w:bookmarkStart w:id="16" w:name="_Ref500326737"/>
      <w:r>
        <w:rPr>
          <w:rFonts w:ascii="Times New Roman" w:hAnsi="Times New Roman"/>
          <w:sz w:val="22"/>
        </w:rPr>
        <w:t>10.</w:t>
      </w:r>
      <w:r w:rsidR="001D2A2F">
        <w:rPr>
          <w:rFonts w:ascii="Times New Roman" w:hAnsi="Times New Roman"/>
          <w:sz w:val="22"/>
        </w:rPr>
        <w:t xml:space="preserve">1 </w:t>
      </w:r>
      <w:r w:rsidR="001D2A2F" w:rsidRPr="00DE303C">
        <w:rPr>
          <w:rFonts w:ascii="Times New Roman" w:hAnsi="Times New Roman"/>
          <w:b/>
          <w:sz w:val="22"/>
        </w:rPr>
        <w:t>Les offres doivent être envoyées au pouvoir adjudicateur avant la date limite indiquée dans l’avis de marché.</w:t>
      </w:r>
      <w:r w:rsidR="001D2A2F" w:rsidRPr="00DE303C">
        <w:rPr>
          <w:rFonts w:ascii="Times New Roman" w:hAnsi="Times New Roman"/>
          <w:sz w:val="22"/>
        </w:rPr>
        <w:t xml:space="preserve"> Elles doivent comporter tous les documents spécifiés au point 11 des présentes instructions et être envoyées à l’adresse suivante</w:t>
      </w:r>
      <w:r w:rsidR="001D2A2F">
        <w:rPr>
          <w:rFonts w:ascii="Times New Roman" w:hAnsi="Times New Roman"/>
          <w:sz w:val="22"/>
        </w:rPr>
        <w:t xml:space="preserve"> </w:t>
      </w:r>
      <w:r w:rsidR="001D2A2F" w:rsidRPr="00DE303C">
        <w:rPr>
          <w:rFonts w:ascii="Times New Roman" w:hAnsi="Times New Roman"/>
          <w:sz w:val="22"/>
        </w:rPr>
        <w:t>:</w:t>
      </w:r>
    </w:p>
    <w:p w14:paraId="4F6E6FCE" w14:textId="77777777" w:rsidR="001D2A2F" w:rsidRPr="002A30CF" w:rsidRDefault="001D2A2F" w:rsidP="001D2A2F">
      <w:pPr>
        <w:widowControl w:val="0"/>
        <w:spacing w:before="0" w:after="0"/>
        <w:ind w:left="993"/>
        <w:jc w:val="both"/>
        <w:rPr>
          <w:rFonts w:ascii="Times New Roman" w:hAnsi="Times New Roman"/>
          <w:b/>
          <w:sz w:val="22"/>
        </w:rPr>
      </w:pPr>
      <w:r>
        <w:rPr>
          <w:rFonts w:ascii="Times New Roman" w:hAnsi="Times New Roman"/>
          <w:b/>
          <w:sz w:val="22"/>
        </w:rPr>
        <w:t>Unité de Gestion du Programme RINDRA</w:t>
      </w:r>
      <w:r w:rsidRPr="002A30CF">
        <w:rPr>
          <w:rFonts w:ascii="Times New Roman" w:hAnsi="Times New Roman"/>
          <w:b/>
          <w:sz w:val="22"/>
        </w:rPr>
        <w:t xml:space="preserve"> </w:t>
      </w:r>
    </w:p>
    <w:p w14:paraId="5AC42440" w14:textId="77777777" w:rsidR="001D2A2F" w:rsidRDefault="001D2A2F" w:rsidP="001D2A2F">
      <w:pPr>
        <w:widowControl w:val="0"/>
        <w:spacing w:before="0" w:after="0"/>
        <w:ind w:left="993"/>
        <w:jc w:val="both"/>
        <w:rPr>
          <w:rFonts w:ascii="Times New Roman" w:hAnsi="Times New Roman"/>
          <w:b/>
          <w:sz w:val="22"/>
        </w:rPr>
      </w:pPr>
      <w:r w:rsidRPr="002A30CF">
        <w:rPr>
          <w:rFonts w:ascii="Times New Roman" w:hAnsi="Times New Roman"/>
          <w:b/>
          <w:sz w:val="22"/>
        </w:rPr>
        <w:t>Immeuble ex-Ambassade des USA (en face du English Teaching Program ETP),</w:t>
      </w:r>
    </w:p>
    <w:p w14:paraId="31AF931A" w14:textId="77777777" w:rsidR="001D2A2F" w:rsidRPr="004624C1" w:rsidRDefault="001D2A2F" w:rsidP="001D2A2F">
      <w:pPr>
        <w:widowControl w:val="0"/>
        <w:spacing w:before="0" w:after="0"/>
        <w:ind w:left="993"/>
        <w:jc w:val="both"/>
        <w:rPr>
          <w:rFonts w:ascii="Times New Roman" w:hAnsi="Times New Roman"/>
          <w:b/>
          <w:sz w:val="22"/>
          <w:lang w:val="it-IT"/>
        </w:rPr>
      </w:pPr>
      <w:r>
        <w:rPr>
          <w:rFonts w:ascii="Times New Roman" w:hAnsi="Times New Roman"/>
          <w:b/>
          <w:sz w:val="22"/>
          <w:lang w:val="it-IT"/>
        </w:rPr>
        <w:t xml:space="preserve">3ème </w:t>
      </w:r>
      <w:r w:rsidRPr="004624C1">
        <w:rPr>
          <w:rFonts w:ascii="Times New Roman" w:hAnsi="Times New Roman"/>
          <w:b/>
          <w:sz w:val="22"/>
          <w:lang w:val="it-IT"/>
        </w:rPr>
        <w:t>étage Gauche,</w:t>
      </w:r>
    </w:p>
    <w:p w14:paraId="37AB1CD8" w14:textId="77777777" w:rsidR="001D2A2F" w:rsidRDefault="001D2A2F" w:rsidP="001D2A2F">
      <w:pPr>
        <w:widowControl w:val="0"/>
        <w:spacing w:before="0" w:after="0"/>
        <w:ind w:left="992"/>
        <w:jc w:val="both"/>
        <w:rPr>
          <w:rFonts w:ascii="Times New Roman" w:hAnsi="Times New Roman"/>
          <w:b/>
          <w:sz w:val="22"/>
          <w:lang w:val="it-IT"/>
        </w:rPr>
      </w:pPr>
      <w:r w:rsidRPr="004624C1">
        <w:rPr>
          <w:rFonts w:ascii="Times New Roman" w:hAnsi="Times New Roman"/>
          <w:b/>
          <w:sz w:val="22"/>
          <w:lang w:val="it-IT"/>
        </w:rPr>
        <w:t xml:space="preserve">Antsahavola, Antananarivo, </w:t>
      </w:r>
    </w:p>
    <w:p w14:paraId="3A7E607D" w14:textId="77777777" w:rsidR="001D2A2F" w:rsidRPr="004624C1" w:rsidRDefault="001D2A2F" w:rsidP="001D2A2F">
      <w:pPr>
        <w:widowControl w:val="0"/>
        <w:spacing w:before="0" w:after="0"/>
        <w:ind w:left="992"/>
        <w:jc w:val="both"/>
        <w:rPr>
          <w:rFonts w:ascii="Times New Roman" w:hAnsi="Times New Roman"/>
          <w:b/>
          <w:sz w:val="22"/>
          <w:lang w:val="it-IT"/>
        </w:rPr>
      </w:pPr>
      <w:r w:rsidRPr="004624C1">
        <w:rPr>
          <w:rFonts w:ascii="Times New Roman" w:hAnsi="Times New Roman"/>
          <w:b/>
          <w:sz w:val="22"/>
          <w:lang w:val="it-IT"/>
        </w:rPr>
        <w:t>Madagascar</w:t>
      </w:r>
    </w:p>
    <w:p w14:paraId="1D4862F8" w14:textId="77777777" w:rsidR="001D2A2F" w:rsidRDefault="001D2A2F" w:rsidP="001D2A2F">
      <w:pPr>
        <w:ind w:left="567"/>
        <w:jc w:val="both"/>
        <w:rPr>
          <w:rFonts w:ascii="Times New Roman" w:hAnsi="Times New Roman"/>
          <w:sz w:val="22"/>
        </w:rPr>
      </w:pPr>
      <w:r w:rsidRPr="00DE303C">
        <w:rPr>
          <w:rFonts w:ascii="Times New Roman" w:hAnsi="Times New Roman"/>
          <w:sz w:val="22"/>
        </w:rPr>
        <w:t>Si les offres sont remises en main propre, elles doivent l’être à l’adresse suivante</w:t>
      </w:r>
      <w:r>
        <w:rPr>
          <w:rFonts w:ascii="Times New Roman" w:hAnsi="Times New Roman"/>
          <w:sz w:val="22"/>
        </w:rPr>
        <w:t xml:space="preserve"> </w:t>
      </w:r>
      <w:r w:rsidRPr="00DE303C">
        <w:rPr>
          <w:rFonts w:ascii="Times New Roman" w:hAnsi="Times New Roman"/>
          <w:sz w:val="22"/>
        </w:rPr>
        <w:t>:</w:t>
      </w:r>
    </w:p>
    <w:p w14:paraId="7D098979" w14:textId="77777777" w:rsidR="001D2A2F" w:rsidRPr="002A30CF" w:rsidRDefault="001D2A2F" w:rsidP="001D2A2F">
      <w:pPr>
        <w:widowControl w:val="0"/>
        <w:spacing w:before="0" w:after="0"/>
        <w:ind w:left="993"/>
        <w:jc w:val="both"/>
        <w:rPr>
          <w:rFonts w:ascii="Times New Roman" w:hAnsi="Times New Roman"/>
          <w:b/>
          <w:sz w:val="22"/>
        </w:rPr>
      </w:pPr>
      <w:r>
        <w:rPr>
          <w:rFonts w:ascii="Times New Roman" w:hAnsi="Times New Roman"/>
          <w:b/>
          <w:sz w:val="22"/>
        </w:rPr>
        <w:t>Unité de Gestion du Programme RINDRA</w:t>
      </w:r>
      <w:r w:rsidRPr="002A30CF">
        <w:rPr>
          <w:rFonts w:ascii="Times New Roman" w:hAnsi="Times New Roman"/>
          <w:b/>
          <w:sz w:val="22"/>
        </w:rPr>
        <w:t xml:space="preserve"> </w:t>
      </w:r>
    </w:p>
    <w:p w14:paraId="71EBEECD" w14:textId="77777777" w:rsidR="001D2A2F" w:rsidRDefault="001D2A2F" w:rsidP="001D2A2F">
      <w:pPr>
        <w:widowControl w:val="0"/>
        <w:spacing w:before="0" w:after="0"/>
        <w:ind w:left="993"/>
        <w:jc w:val="both"/>
        <w:rPr>
          <w:rFonts w:ascii="Times New Roman" w:hAnsi="Times New Roman"/>
          <w:b/>
          <w:sz w:val="22"/>
        </w:rPr>
      </w:pPr>
      <w:r w:rsidRPr="002A30CF">
        <w:rPr>
          <w:rFonts w:ascii="Times New Roman" w:hAnsi="Times New Roman"/>
          <w:b/>
          <w:sz w:val="22"/>
        </w:rPr>
        <w:t>Immeuble ex-Ambassade des USA (en face du English Teaching Program ETP),</w:t>
      </w:r>
    </w:p>
    <w:p w14:paraId="03351474" w14:textId="77777777" w:rsidR="001D2A2F" w:rsidRPr="004624C1" w:rsidRDefault="001D2A2F" w:rsidP="001D2A2F">
      <w:pPr>
        <w:widowControl w:val="0"/>
        <w:spacing w:before="0" w:after="0"/>
        <w:ind w:left="993"/>
        <w:jc w:val="both"/>
        <w:rPr>
          <w:rFonts w:ascii="Times New Roman" w:hAnsi="Times New Roman"/>
          <w:b/>
          <w:sz w:val="22"/>
          <w:lang w:val="it-IT"/>
        </w:rPr>
      </w:pPr>
      <w:r>
        <w:rPr>
          <w:rFonts w:ascii="Times New Roman" w:hAnsi="Times New Roman"/>
          <w:b/>
          <w:sz w:val="22"/>
          <w:lang w:val="it-IT"/>
        </w:rPr>
        <w:t xml:space="preserve">3ème </w:t>
      </w:r>
      <w:r w:rsidRPr="004624C1">
        <w:rPr>
          <w:rFonts w:ascii="Times New Roman" w:hAnsi="Times New Roman"/>
          <w:b/>
          <w:sz w:val="22"/>
          <w:lang w:val="it-IT"/>
        </w:rPr>
        <w:t>étage Gauche,</w:t>
      </w:r>
    </w:p>
    <w:p w14:paraId="265E61DC" w14:textId="77777777" w:rsidR="001D2A2F" w:rsidRDefault="001D2A2F" w:rsidP="001D2A2F">
      <w:pPr>
        <w:widowControl w:val="0"/>
        <w:spacing w:before="0" w:after="0"/>
        <w:ind w:left="992"/>
        <w:jc w:val="both"/>
        <w:rPr>
          <w:rFonts w:ascii="Times New Roman" w:hAnsi="Times New Roman"/>
          <w:b/>
          <w:sz w:val="22"/>
          <w:lang w:val="it-IT"/>
        </w:rPr>
      </w:pPr>
      <w:r w:rsidRPr="004624C1">
        <w:rPr>
          <w:rFonts w:ascii="Times New Roman" w:hAnsi="Times New Roman"/>
          <w:b/>
          <w:sz w:val="22"/>
          <w:lang w:val="it-IT"/>
        </w:rPr>
        <w:t xml:space="preserve">Antsahavola, Antananarivo, </w:t>
      </w:r>
    </w:p>
    <w:p w14:paraId="0DDD05DA" w14:textId="77777777" w:rsidR="001D2A2F" w:rsidRDefault="001D2A2F" w:rsidP="001D2A2F">
      <w:pPr>
        <w:widowControl w:val="0"/>
        <w:spacing w:before="0" w:after="0"/>
        <w:ind w:left="992"/>
        <w:jc w:val="both"/>
        <w:rPr>
          <w:rFonts w:ascii="Times New Roman" w:hAnsi="Times New Roman"/>
          <w:b/>
          <w:sz w:val="22"/>
          <w:lang w:val="it-IT"/>
        </w:rPr>
      </w:pPr>
      <w:r w:rsidRPr="004624C1">
        <w:rPr>
          <w:rFonts w:ascii="Times New Roman" w:hAnsi="Times New Roman"/>
          <w:b/>
          <w:sz w:val="22"/>
          <w:lang w:val="it-IT"/>
        </w:rPr>
        <w:t>Madagascar</w:t>
      </w:r>
    </w:p>
    <w:p w14:paraId="733626E7" w14:textId="77777777" w:rsidR="001D2A2F" w:rsidRDefault="001D2A2F" w:rsidP="001D2A2F">
      <w:pPr>
        <w:widowControl w:val="0"/>
        <w:spacing w:before="0" w:after="0"/>
        <w:ind w:left="992"/>
        <w:jc w:val="both"/>
        <w:rPr>
          <w:rFonts w:ascii="Times New Roman" w:hAnsi="Times New Roman"/>
          <w:b/>
          <w:sz w:val="22"/>
          <w:lang w:val="it-IT"/>
        </w:rPr>
      </w:pPr>
    </w:p>
    <w:p w14:paraId="7F7F5A49" w14:textId="77777777" w:rsidR="001D2A2F" w:rsidRPr="004624C1" w:rsidRDefault="001D2A2F" w:rsidP="001D2A2F">
      <w:pPr>
        <w:widowControl w:val="0"/>
        <w:spacing w:before="0" w:after="0"/>
        <w:ind w:left="992"/>
        <w:jc w:val="both"/>
        <w:rPr>
          <w:rFonts w:ascii="Times New Roman" w:hAnsi="Times New Roman"/>
          <w:b/>
          <w:sz w:val="22"/>
          <w:lang w:val="it-IT"/>
        </w:rPr>
      </w:pPr>
      <w:r>
        <w:rPr>
          <w:rFonts w:ascii="Times New Roman" w:hAnsi="Times New Roman"/>
          <w:b/>
          <w:sz w:val="22"/>
          <w:lang w:val="it-IT"/>
        </w:rPr>
        <w:t>Horaires d’ouverture des bureaux : du lundi au vendredi, de 8h à 16h (heure locale)</w:t>
      </w:r>
    </w:p>
    <w:p w14:paraId="53B791CA" w14:textId="77777777" w:rsidR="001D2A2F" w:rsidRPr="002A2509" w:rsidRDefault="001D2A2F" w:rsidP="001D2A2F">
      <w:pPr>
        <w:ind w:left="567"/>
        <w:jc w:val="both"/>
        <w:rPr>
          <w:rFonts w:ascii="Times New Roman" w:hAnsi="Times New Roman"/>
          <w:sz w:val="22"/>
          <w:highlight w:val="lightGray"/>
        </w:rPr>
      </w:pPr>
      <w:r>
        <w:rPr>
          <w:rFonts w:ascii="Times New Roman" w:hAnsi="Times New Roman"/>
          <w:sz w:val="22"/>
        </w:rPr>
        <w:tab/>
      </w:r>
      <w:r w:rsidRPr="0046509C">
        <w:rPr>
          <w:rFonts w:ascii="Times New Roman" w:hAnsi="Times New Roman"/>
          <w:sz w:val="22"/>
        </w:rPr>
        <w:t>Les offres doivent respecter les conditions suivantes :</w:t>
      </w:r>
    </w:p>
    <w:p w14:paraId="4C41A8D4" w14:textId="263E376B" w:rsidR="0047783A" w:rsidRPr="00E82463" w:rsidRDefault="0047783A" w:rsidP="000D1B17">
      <w:pPr>
        <w:pStyle w:val="Titre2"/>
        <w:ind w:left="567" w:hanging="567"/>
        <w:jc w:val="both"/>
        <w:rPr>
          <w:rFonts w:ascii="Times New Roman" w:hAnsi="Times New Roman"/>
        </w:rPr>
      </w:pPr>
      <w:bookmarkStart w:id="17" w:name="_Ref500330141"/>
      <w:bookmarkEnd w:id="16"/>
      <w:r>
        <w:rPr>
          <w:rFonts w:ascii="Times New Roman" w:hAnsi="Times New Roman"/>
          <w:sz w:val="22"/>
        </w:rPr>
        <w:t>10.2</w:t>
      </w:r>
      <w:r>
        <w:rPr>
          <w:rFonts w:ascii="Times New Roman" w:hAnsi="Times New Roman"/>
          <w:sz w:val="22"/>
        </w:rPr>
        <w:tab/>
      </w:r>
      <w:r w:rsidR="003D4CB4" w:rsidRPr="0046509C">
        <w:rPr>
          <w:rFonts w:ascii="Times New Roman" w:hAnsi="Times New Roman"/>
          <w:sz w:val="22"/>
        </w:rPr>
        <w:t>Toutes les offres doivent être soumises sous la forme d’un exemplaire original unique, portant la mention « original », et de 2 copies signées de la même façon que l’original et portant la mention « copie ».</w:t>
      </w:r>
      <w:r w:rsidR="003D4CB4">
        <w:rPr>
          <w:rFonts w:ascii="Times New Roman" w:hAnsi="Times New Roman"/>
          <w:sz w:val="22"/>
        </w:rPr>
        <w:t xml:space="preserve"> </w:t>
      </w:r>
      <w:r w:rsidR="003D4CB4" w:rsidRPr="0046509C">
        <w:rPr>
          <w:rFonts w:ascii="Times New Roman" w:hAnsi="Times New Roman"/>
          <w:b/>
          <w:bCs/>
          <w:sz w:val="22"/>
        </w:rPr>
        <w:t xml:space="preserve">Originaux et </w:t>
      </w:r>
      <w:r w:rsidR="003D4CB4">
        <w:rPr>
          <w:rFonts w:ascii="Times New Roman" w:hAnsi="Times New Roman"/>
          <w:sz w:val="22"/>
        </w:rPr>
        <w:t>c</w:t>
      </w:r>
      <w:r w:rsidR="003D4CB4" w:rsidRPr="0046509C">
        <w:rPr>
          <w:rFonts w:ascii="Times New Roman" w:hAnsi="Times New Roman"/>
          <w:b/>
          <w:sz w:val="22"/>
          <w:lang w:eastAsia="fr-FR" w:bidi="fr-FR"/>
        </w:rPr>
        <w:t xml:space="preserve">opies seront imprimés en recto-verso, et ne contiendront </w:t>
      </w:r>
      <w:r w:rsidR="003D4CB4" w:rsidRPr="0046509C">
        <w:rPr>
          <w:rFonts w:ascii="Times New Roman" w:hAnsi="Times New Roman"/>
          <w:b/>
          <w:sz w:val="22"/>
          <w:lang w:eastAsia="fr-FR" w:bidi="fr-FR"/>
        </w:rPr>
        <w:lastRenderedPageBreak/>
        <w:t>que des matériaux biodégradables : pas de feuille</w:t>
      </w:r>
      <w:r w:rsidR="003D4CB4">
        <w:rPr>
          <w:rFonts w:ascii="Times New Roman" w:hAnsi="Times New Roman"/>
          <w:b/>
          <w:sz w:val="22"/>
          <w:lang w:eastAsia="fr-FR" w:bidi="fr-FR"/>
        </w:rPr>
        <w:t>s</w:t>
      </w:r>
      <w:r w:rsidR="003D4CB4" w:rsidRPr="0046509C">
        <w:rPr>
          <w:rFonts w:ascii="Times New Roman" w:hAnsi="Times New Roman"/>
          <w:b/>
          <w:sz w:val="22"/>
          <w:lang w:eastAsia="fr-FR" w:bidi="fr-FR"/>
        </w:rPr>
        <w:t xml:space="preserve"> plastique</w:t>
      </w:r>
      <w:r w:rsidR="003D4CB4">
        <w:rPr>
          <w:rFonts w:ascii="Times New Roman" w:hAnsi="Times New Roman"/>
          <w:b/>
          <w:sz w:val="22"/>
          <w:lang w:eastAsia="fr-FR" w:bidi="fr-FR"/>
        </w:rPr>
        <w:t>s</w:t>
      </w:r>
      <w:r w:rsidR="003D4CB4" w:rsidRPr="0046509C">
        <w:rPr>
          <w:rFonts w:ascii="Times New Roman" w:hAnsi="Times New Roman"/>
          <w:b/>
          <w:sz w:val="22"/>
          <w:lang w:eastAsia="fr-FR" w:bidi="fr-FR"/>
        </w:rPr>
        <w:t>, pas d’intercalaire</w:t>
      </w:r>
      <w:r w:rsidR="003D4CB4">
        <w:rPr>
          <w:rFonts w:ascii="Times New Roman" w:hAnsi="Times New Roman"/>
          <w:b/>
          <w:sz w:val="22"/>
          <w:lang w:eastAsia="fr-FR" w:bidi="fr-FR"/>
        </w:rPr>
        <w:t>s</w:t>
      </w:r>
      <w:r w:rsidR="003D4CB4" w:rsidRPr="0046509C">
        <w:rPr>
          <w:rFonts w:ascii="Times New Roman" w:hAnsi="Times New Roman"/>
          <w:b/>
          <w:sz w:val="22"/>
          <w:lang w:eastAsia="fr-FR" w:bidi="fr-FR"/>
        </w:rPr>
        <w:t xml:space="preserve"> en plastique</w:t>
      </w:r>
      <w:r w:rsidR="003D4CB4">
        <w:rPr>
          <w:rFonts w:ascii="Times New Roman" w:hAnsi="Times New Roman"/>
          <w:b/>
          <w:sz w:val="22"/>
          <w:lang w:eastAsia="fr-FR" w:bidi="fr-FR"/>
        </w:rPr>
        <w:t>.</w:t>
      </w:r>
    </w:p>
    <w:bookmarkEnd w:id="17"/>
    <w:p w14:paraId="0DF6BCF6" w14:textId="07C38AC6" w:rsidR="0086759F" w:rsidRPr="004670EA" w:rsidRDefault="0047783A" w:rsidP="000D1B17">
      <w:pPr>
        <w:pStyle w:val="Titre2"/>
        <w:ind w:left="567" w:hanging="567"/>
        <w:jc w:val="both"/>
        <w:rPr>
          <w:rFonts w:ascii="Times New Roman" w:hAnsi="Times New Roman"/>
          <w:sz w:val="22"/>
        </w:rPr>
      </w:pPr>
      <w:r>
        <w:rPr>
          <w:rFonts w:ascii="Times New Roman" w:hAnsi="Times New Roman"/>
          <w:sz w:val="22"/>
        </w:rPr>
        <w:t>10.3</w:t>
      </w:r>
      <w:r>
        <w:rPr>
          <w:rFonts w:ascii="Times New Roman" w:hAnsi="Times New Roman"/>
          <w:sz w:val="22"/>
        </w:rPr>
        <w:tab/>
      </w:r>
      <w:r w:rsidRPr="004670EA">
        <w:rPr>
          <w:rFonts w:ascii="Times New Roman" w:hAnsi="Times New Roman"/>
          <w:sz w:val="22"/>
        </w:rPr>
        <w:t>Les offres doivent être soumises</w:t>
      </w:r>
      <w:r w:rsidR="004670EA">
        <w:rPr>
          <w:rFonts w:ascii="Times New Roman" w:hAnsi="Times New Roman"/>
          <w:sz w:val="22"/>
        </w:rPr>
        <w:t xml:space="preserve"> </w:t>
      </w:r>
      <w:r w:rsidRPr="004670EA">
        <w:rPr>
          <w:rFonts w:ascii="Times New Roman" w:hAnsi="Times New Roman"/>
          <w:sz w:val="22"/>
        </w:rPr>
        <w:t>:</w:t>
      </w:r>
    </w:p>
    <w:p w14:paraId="4DBBEB14" w14:textId="77777777" w:rsidR="0086759F" w:rsidRPr="004670EA" w:rsidRDefault="0086759F" w:rsidP="000D1B17">
      <w:pPr>
        <w:pStyle w:val="Titre2"/>
        <w:ind w:left="567" w:hanging="567"/>
        <w:jc w:val="both"/>
        <w:rPr>
          <w:rFonts w:ascii="Times New Roman" w:hAnsi="Times New Roman"/>
          <w:sz w:val="22"/>
        </w:rPr>
      </w:pPr>
      <w:r w:rsidRPr="004670EA">
        <w:rPr>
          <w:rFonts w:ascii="Times New Roman" w:hAnsi="Times New Roman"/>
          <w:sz w:val="22"/>
        </w:rPr>
        <w:tab/>
        <w:t>a) soit par la poste ou par messagerie, auxquels cas le cachet de la poste ou la date du récépissé de dépôt fait foi</w:t>
      </w:r>
      <w:r w:rsidR="00803383" w:rsidRPr="004670EA">
        <w:rPr>
          <w:rStyle w:val="Appelnotedebasdep"/>
          <w:rFonts w:ascii="Times New Roman" w:hAnsi="Times New Roman"/>
          <w:sz w:val="22"/>
          <w:szCs w:val="22"/>
          <w:lang w:val="en-US"/>
        </w:rPr>
        <w:footnoteReference w:id="4"/>
      </w:r>
      <w:r w:rsidRPr="004670EA">
        <w:rPr>
          <w:rFonts w:ascii="Times New Roman" w:hAnsi="Times New Roman"/>
          <w:sz w:val="22"/>
        </w:rPr>
        <w:t>;</w:t>
      </w:r>
    </w:p>
    <w:p w14:paraId="3D364392" w14:textId="77777777" w:rsidR="0086759F" w:rsidRPr="004670EA" w:rsidRDefault="0086759F" w:rsidP="000D1B17">
      <w:pPr>
        <w:pStyle w:val="Titre2"/>
        <w:ind w:left="567" w:hanging="567"/>
        <w:jc w:val="both"/>
        <w:rPr>
          <w:rFonts w:ascii="Times New Roman" w:hAnsi="Times New Roman"/>
          <w:sz w:val="22"/>
        </w:rPr>
      </w:pPr>
      <w:r w:rsidRPr="004670EA">
        <w:rPr>
          <w:rFonts w:ascii="Times New Roman" w:hAnsi="Times New Roman"/>
          <w:sz w:val="22"/>
        </w:rPr>
        <w:tab/>
        <w:t xml:space="preserve">b) soit remises en main propre par le participant en personne ou par un agent directement dans les locaux du pouvoir adjudicateur, auquel cas l’accusé de réception fait foi. </w:t>
      </w:r>
    </w:p>
    <w:p w14:paraId="65CB01B1" w14:textId="389307B7" w:rsidR="008B2A9C" w:rsidRPr="004670EA" w:rsidRDefault="008B2A9C" w:rsidP="009956B4">
      <w:pPr>
        <w:pStyle w:val="Titre2"/>
        <w:keepNext w:val="0"/>
        <w:ind w:left="567"/>
        <w:jc w:val="both"/>
        <w:rPr>
          <w:rFonts w:ascii="Times New Roman" w:hAnsi="Times New Roman"/>
          <w:sz w:val="22"/>
        </w:rPr>
      </w:pPr>
      <w:r w:rsidRPr="004670EA">
        <w:rPr>
          <w:rFonts w:ascii="Times New Roman" w:hAnsi="Times New Roman"/>
          <w:sz w:val="22"/>
        </w:rPr>
        <w:t>Le pouvoir adjudicateur peut, pour des raisons d’efficience administrative, rejeter toute candidature ou offre soumise à temps au service postal mais reçue, pour toute raison échappant au contrôle du pouvoir adjudicateur, après la date effective d’approbation de la liste des candidats présélectionnés ou du rapport d’évaluation, si le fait d’accepter ces candidatures ou offres soumises à temps mais arrivées tardivement risque de retarder exagérément la procédure d’évaluation ou de remettre en cause des décisions déjà prises et communiquées.</w:t>
      </w:r>
    </w:p>
    <w:p w14:paraId="380CD258" w14:textId="73AF94E2" w:rsidR="0047783A" w:rsidRPr="004670EA" w:rsidRDefault="0047783A" w:rsidP="009956B4">
      <w:pPr>
        <w:pStyle w:val="Titre2"/>
        <w:keepNext w:val="0"/>
        <w:ind w:left="567" w:hanging="567"/>
        <w:jc w:val="both"/>
        <w:rPr>
          <w:rFonts w:ascii="Times New Roman" w:hAnsi="Times New Roman"/>
          <w:sz w:val="22"/>
        </w:rPr>
      </w:pPr>
      <w:r>
        <w:rPr>
          <w:rFonts w:ascii="Times New Roman" w:hAnsi="Times New Roman"/>
          <w:sz w:val="22"/>
        </w:rPr>
        <w:t>10.4</w:t>
      </w:r>
      <w:r>
        <w:rPr>
          <w:rFonts w:ascii="Times New Roman" w:hAnsi="Times New Roman"/>
          <w:sz w:val="22"/>
        </w:rPr>
        <w:tab/>
      </w:r>
      <w:r w:rsidRPr="004670EA">
        <w:rPr>
          <w:rFonts w:ascii="Times New Roman" w:hAnsi="Times New Roman"/>
          <w:sz w:val="22"/>
        </w:rPr>
        <w:t>Toutes les offres, y compris leurs annexes et toutes les pièces justificatives, doivent être soumises dans une enveloppe scellée et porter pour seules mentions</w:t>
      </w:r>
      <w:r w:rsidR="004670EA">
        <w:rPr>
          <w:rFonts w:ascii="Times New Roman" w:hAnsi="Times New Roman"/>
          <w:sz w:val="22"/>
        </w:rPr>
        <w:t xml:space="preserve"> </w:t>
      </w:r>
      <w:r w:rsidRPr="004670EA">
        <w:rPr>
          <w:rFonts w:ascii="Times New Roman" w:hAnsi="Times New Roman"/>
          <w:sz w:val="22"/>
        </w:rPr>
        <w:t>:</w:t>
      </w:r>
    </w:p>
    <w:p w14:paraId="5EEE5B26" w14:textId="31EFA2D4" w:rsidR="0047783A" w:rsidRPr="004670EA" w:rsidRDefault="0047783A" w:rsidP="009956B4">
      <w:pPr>
        <w:pStyle w:val="Titre2"/>
        <w:keepNext w:val="0"/>
        <w:ind w:left="567"/>
        <w:jc w:val="both"/>
        <w:rPr>
          <w:rFonts w:ascii="Times New Roman" w:hAnsi="Times New Roman"/>
          <w:sz w:val="22"/>
        </w:rPr>
      </w:pPr>
      <w:r w:rsidRPr="004670EA">
        <w:rPr>
          <w:rFonts w:ascii="Times New Roman" w:hAnsi="Times New Roman"/>
          <w:sz w:val="22"/>
        </w:rPr>
        <w:t>a)</w:t>
      </w:r>
      <w:r w:rsidRPr="004670EA">
        <w:rPr>
          <w:rFonts w:ascii="Times New Roman" w:hAnsi="Times New Roman"/>
          <w:sz w:val="22"/>
        </w:rPr>
        <w:tab/>
        <w:t>l’adresse indiquée ci-dessus</w:t>
      </w:r>
      <w:r w:rsidR="004670EA">
        <w:rPr>
          <w:rFonts w:ascii="Times New Roman" w:hAnsi="Times New Roman"/>
          <w:sz w:val="22"/>
        </w:rPr>
        <w:t xml:space="preserve"> </w:t>
      </w:r>
      <w:r w:rsidRPr="004670EA">
        <w:rPr>
          <w:rFonts w:ascii="Times New Roman" w:hAnsi="Times New Roman"/>
          <w:sz w:val="22"/>
        </w:rPr>
        <w:t>;</w:t>
      </w:r>
    </w:p>
    <w:p w14:paraId="792BB132" w14:textId="2714B682" w:rsidR="0047783A" w:rsidRPr="004670EA" w:rsidRDefault="0047783A" w:rsidP="009956B4">
      <w:pPr>
        <w:pStyle w:val="Titre2"/>
        <w:keepNext w:val="0"/>
        <w:ind w:left="567"/>
        <w:jc w:val="both"/>
        <w:rPr>
          <w:rFonts w:ascii="Times New Roman" w:hAnsi="Times New Roman"/>
          <w:sz w:val="22"/>
        </w:rPr>
      </w:pPr>
      <w:r w:rsidRPr="004670EA">
        <w:rPr>
          <w:rFonts w:ascii="Times New Roman" w:hAnsi="Times New Roman"/>
          <w:sz w:val="22"/>
        </w:rPr>
        <w:t>b)</w:t>
      </w:r>
      <w:r w:rsidRPr="004670EA">
        <w:rPr>
          <w:rFonts w:ascii="Times New Roman" w:hAnsi="Times New Roman"/>
          <w:sz w:val="22"/>
        </w:rPr>
        <w:tab/>
        <w:t xml:space="preserve">la référence du présent appel d’offres (à savoir </w:t>
      </w:r>
      <w:r w:rsidR="0023303E" w:rsidRPr="001C0167">
        <w:rPr>
          <w:rFonts w:ascii="Times New Roman" w:hAnsi="Times New Roman"/>
          <w:b/>
          <w:sz w:val="22"/>
          <w:lang w:val="fr-BE"/>
        </w:rPr>
        <w:t>BACE/RINDRA/02/2020</w:t>
      </w:r>
      <w:r w:rsidR="004670EA" w:rsidRPr="004670EA">
        <w:rPr>
          <w:rFonts w:ascii="Times New Roman" w:hAnsi="Times New Roman"/>
          <w:bCs/>
          <w:sz w:val="22"/>
          <w:szCs w:val="22"/>
        </w:rPr>
        <w:t>)</w:t>
      </w:r>
      <w:r w:rsidR="004670EA">
        <w:rPr>
          <w:rFonts w:ascii="Times New Roman" w:hAnsi="Times New Roman"/>
          <w:bCs/>
          <w:sz w:val="22"/>
          <w:szCs w:val="22"/>
        </w:rPr>
        <w:t> ;</w:t>
      </w:r>
    </w:p>
    <w:p w14:paraId="1C39B6B0" w14:textId="51467B40" w:rsidR="0047783A" w:rsidRPr="004670EA" w:rsidRDefault="0047783A" w:rsidP="009956B4">
      <w:pPr>
        <w:pStyle w:val="Titre2"/>
        <w:keepNext w:val="0"/>
        <w:ind w:left="567"/>
        <w:jc w:val="both"/>
        <w:rPr>
          <w:rFonts w:ascii="Times New Roman" w:hAnsi="Times New Roman"/>
          <w:sz w:val="22"/>
        </w:rPr>
      </w:pPr>
      <w:r w:rsidRPr="004670EA">
        <w:rPr>
          <w:rFonts w:ascii="Times New Roman" w:hAnsi="Times New Roman"/>
          <w:sz w:val="22"/>
        </w:rPr>
        <w:t>c)</w:t>
      </w:r>
      <w:r w:rsidRPr="004670EA">
        <w:rPr>
          <w:rFonts w:ascii="Times New Roman" w:hAnsi="Times New Roman"/>
          <w:sz w:val="22"/>
        </w:rPr>
        <w:tab/>
        <w:t>le cas échéant, le numéro du ou des lots pour lesquels le soumissionnaire présente une offre</w:t>
      </w:r>
      <w:r w:rsidR="004670EA">
        <w:rPr>
          <w:rFonts w:ascii="Times New Roman" w:hAnsi="Times New Roman"/>
          <w:sz w:val="22"/>
        </w:rPr>
        <w:t xml:space="preserve"> </w:t>
      </w:r>
      <w:r w:rsidRPr="004670EA">
        <w:rPr>
          <w:rFonts w:ascii="Times New Roman" w:hAnsi="Times New Roman"/>
          <w:sz w:val="22"/>
        </w:rPr>
        <w:t>;</w:t>
      </w:r>
    </w:p>
    <w:p w14:paraId="055A4605" w14:textId="77777777" w:rsidR="004670EA" w:rsidRPr="006C6356" w:rsidRDefault="0047783A" w:rsidP="004670EA">
      <w:pPr>
        <w:tabs>
          <w:tab w:val="left" w:pos="1134"/>
        </w:tabs>
        <w:ind w:left="1418" w:hanging="851"/>
        <w:jc w:val="both"/>
        <w:rPr>
          <w:rFonts w:ascii="Times New Roman" w:hAnsi="Times New Roman"/>
          <w:sz w:val="22"/>
        </w:rPr>
      </w:pPr>
      <w:r w:rsidRPr="004670EA">
        <w:rPr>
          <w:rFonts w:ascii="Times New Roman" w:hAnsi="Times New Roman"/>
          <w:sz w:val="22"/>
        </w:rPr>
        <w:t>d)</w:t>
      </w:r>
      <w:r w:rsidRPr="004670EA">
        <w:rPr>
          <w:rFonts w:ascii="Times New Roman" w:hAnsi="Times New Roman"/>
          <w:sz w:val="22"/>
        </w:rPr>
        <w:tab/>
        <w:t xml:space="preserve">la mention «Ne pas ouvrir avant la séance d’ouverture des offres» dans la langue du dossier d’appel d’offres et </w:t>
      </w:r>
      <w:r w:rsidR="004670EA">
        <w:rPr>
          <w:rFonts w:ascii="Times New Roman" w:hAnsi="Times New Roman"/>
          <w:sz w:val="22"/>
        </w:rPr>
        <w:t xml:space="preserve">« </w:t>
      </w:r>
      <w:proofErr w:type="spellStart"/>
      <w:r w:rsidR="004670EA">
        <w:rPr>
          <w:rFonts w:ascii="Times New Roman" w:hAnsi="Times New Roman"/>
          <w:sz w:val="22"/>
        </w:rPr>
        <w:t>Tsy</w:t>
      </w:r>
      <w:proofErr w:type="spellEnd"/>
      <w:r w:rsidR="004670EA">
        <w:rPr>
          <w:rFonts w:ascii="Times New Roman" w:hAnsi="Times New Roman"/>
          <w:sz w:val="22"/>
        </w:rPr>
        <w:t xml:space="preserve"> </w:t>
      </w:r>
      <w:proofErr w:type="spellStart"/>
      <w:r w:rsidR="004670EA">
        <w:rPr>
          <w:rFonts w:ascii="Times New Roman" w:hAnsi="Times New Roman"/>
          <w:sz w:val="22"/>
        </w:rPr>
        <w:t>azo</w:t>
      </w:r>
      <w:proofErr w:type="spellEnd"/>
      <w:r w:rsidR="004670EA">
        <w:rPr>
          <w:rFonts w:ascii="Times New Roman" w:hAnsi="Times New Roman"/>
          <w:sz w:val="22"/>
        </w:rPr>
        <w:t xml:space="preserve"> </w:t>
      </w:r>
      <w:proofErr w:type="spellStart"/>
      <w:r w:rsidR="004670EA">
        <w:rPr>
          <w:rFonts w:ascii="Times New Roman" w:hAnsi="Times New Roman"/>
          <w:sz w:val="22"/>
        </w:rPr>
        <w:t>sokafana</w:t>
      </w:r>
      <w:proofErr w:type="spellEnd"/>
      <w:r w:rsidR="004670EA">
        <w:rPr>
          <w:rFonts w:ascii="Times New Roman" w:hAnsi="Times New Roman"/>
          <w:sz w:val="22"/>
        </w:rPr>
        <w:t xml:space="preserve"> </w:t>
      </w:r>
      <w:proofErr w:type="spellStart"/>
      <w:r w:rsidR="004670EA">
        <w:rPr>
          <w:rFonts w:ascii="Times New Roman" w:hAnsi="Times New Roman"/>
          <w:sz w:val="22"/>
        </w:rPr>
        <w:t>mialohan’ny</w:t>
      </w:r>
      <w:proofErr w:type="spellEnd"/>
      <w:r w:rsidR="004670EA">
        <w:rPr>
          <w:rFonts w:ascii="Times New Roman" w:hAnsi="Times New Roman"/>
          <w:sz w:val="22"/>
        </w:rPr>
        <w:t xml:space="preserve"> </w:t>
      </w:r>
      <w:proofErr w:type="spellStart"/>
      <w:r w:rsidR="004670EA">
        <w:rPr>
          <w:rFonts w:ascii="Times New Roman" w:hAnsi="Times New Roman"/>
          <w:sz w:val="22"/>
        </w:rPr>
        <w:t>fotoana</w:t>
      </w:r>
      <w:proofErr w:type="spellEnd"/>
      <w:r w:rsidR="004670EA">
        <w:rPr>
          <w:rFonts w:ascii="Times New Roman" w:hAnsi="Times New Roman"/>
          <w:sz w:val="22"/>
        </w:rPr>
        <w:t xml:space="preserve"> </w:t>
      </w:r>
      <w:proofErr w:type="spellStart"/>
      <w:r w:rsidR="004670EA">
        <w:rPr>
          <w:rFonts w:ascii="Times New Roman" w:hAnsi="Times New Roman"/>
          <w:sz w:val="22"/>
        </w:rPr>
        <w:t>fanokafana</w:t>
      </w:r>
      <w:proofErr w:type="spellEnd"/>
      <w:r w:rsidR="004670EA">
        <w:rPr>
          <w:rFonts w:ascii="Times New Roman" w:hAnsi="Times New Roman"/>
          <w:sz w:val="22"/>
        </w:rPr>
        <w:t xml:space="preserve"> </w:t>
      </w:r>
      <w:proofErr w:type="spellStart"/>
      <w:r w:rsidR="004670EA">
        <w:rPr>
          <w:rFonts w:ascii="Times New Roman" w:hAnsi="Times New Roman"/>
          <w:sz w:val="22"/>
        </w:rPr>
        <w:t>ny</w:t>
      </w:r>
      <w:proofErr w:type="spellEnd"/>
      <w:r w:rsidR="004670EA">
        <w:rPr>
          <w:rFonts w:ascii="Times New Roman" w:hAnsi="Times New Roman"/>
          <w:sz w:val="22"/>
        </w:rPr>
        <w:t xml:space="preserve"> </w:t>
      </w:r>
      <w:proofErr w:type="spellStart"/>
      <w:r w:rsidR="004670EA">
        <w:rPr>
          <w:rFonts w:ascii="Times New Roman" w:hAnsi="Times New Roman"/>
          <w:sz w:val="22"/>
        </w:rPr>
        <w:t>tolotra</w:t>
      </w:r>
      <w:proofErr w:type="spellEnd"/>
      <w:r w:rsidR="004670EA">
        <w:rPr>
          <w:rFonts w:ascii="Times New Roman" w:hAnsi="Times New Roman"/>
          <w:sz w:val="22"/>
        </w:rPr>
        <w:t xml:space="preserve"> »  </w:t>
      </w:r>
      <w:r w:rsidR="004670EA" w:rsidRPr="006C6356">
        <w:rPr>
          <w:rFonts w:ascii="Times New Roman" w:hAnsi="Times New Roman"/>
          <w:sz w:val="22"/>
        </w:rPr>
        <w:t>;</w:t>
      </w:r>
    </w:p>
    <w:p w14:paraId="579455BA" w14:textId="77777777" w:rsidR="0047783A" w:rsidRPr="004670EA" w:rsidRDefault="0047783A" w:rsidP="009956B4">
      <w:pPr>
        <w:pStyle w:val="Titre2"/>
        <w:keepNext w:val="0"/>
        <w:ind w:left="567"/>
        <w:jc w:val="both"/>
        <w:rPr>
          <w:rFonts w:ascii="Times New Roman" w:hAnsi="Times New Roman"/>
          <w:sz w:val="22"/>
        </w:rPr>
      </w:pPr>
      <w:r w:rsidRPr="004670EA">
        <w:rPr>
          <w:rFonts w:ascii="Times New Roman" w:hAnsi="Times New Roman"/>
          <w:sz w:val="22"/>
        </w:rPr>
        <w:t>e)</w:t>
      </w:r>
      <w:r w:rsidRPr="004670EA">
        <w:rPr>
          <w:rFonts w:ascii="Times New Roman" w:hAnsi="Times New Roman"/>
          <w:sz w:val="22"/>
        </w:rPr>
        <w:tab/>
        <w:t>le nom du soumissionnaire.</w:t>
      </w:r>
    </w:p>
    <w:p w14:paraId="70A99683" w14:textId="75B64BDE" w:rsidR="0047783A" w:rsidRPr="004670EA" w:rsidRDefault="0047783A" w:rsidP="009956B4">
      <w:pPr>
        <w:pStyle w:val="Titre2"/>
        <w:keepNext w:val="0"/>
        <w:ind w:left="567"/>
        <w:jc w:val="both"/>
        <w:rPr>
          <w:rFonts w:ascii="Times New Roman" w:hAnsi="Times New Roman"/>
          <w:sz w:val="22"/>
        </w:rPr>
      </w:pPr>
      <w:r w:rsidRPr="004670EA">
        <w:rPr>
          <w:rFonts w:ascii="Times New Roman" w:hAnsi="Times New Roman"/>
          <w:sz w:val="22"/>
        </w:rPr>
        <w:t>Les offres techniques et financières doivent être placées ensemble dans une enveloppe scellée. L’enveloppe doit ensuite être placée dans une autre enveloppe scellée/un autre colis scellé, à moins que leur volume ne nécessite une soumission distincte pour chaque lot.</w:t>
      </w:r>
    </w:p>
    <w:p w14:paraId="5D07CC26" w14:textId="76DEB0B8" w:rsidR="0047783A" w:rsidRPr="001A2BC4" w:rsidRDefault="00A633C6" w:rsidP="009956B4">
      <w:pPr>
        <w:pStyle w:val="Titre1"/>
      </w:pPr>
      <w:bookmarkStart w:id="18" w:name="_Toc42488080"/>
      <w:r>
        <w:t>11. Contenu des offres</w:t>
      </w:r>
      <w:bookmarkEnd w:id="18"/>
    </w:p>
    <w:p w14:paraId="0F2FBCDA" w14:textId="47627C90" w:rsidR="0047783A" w:rsidRPr="00E82463" w:rsidRDefault="006D4CEC" w:rsidP="0047783A">
      <w:pPr>
        <w:spacing w:after="0"/>
        <w:ind w:left="567"/>
        <w:jc w:val="both"/>
        <w:outlineLvl w:val="0"/>
        <w:rPr>
          <w:rFonts w:ascii="Times New Roman" w:hAnsi="Times New Roman"/>
          <w:sz w:val="22"/>
          <w:szCs w:val="22"/>
        </w:rPr>
      </w:pPr>
      <w:r>
        <w:rPr>
          <w:rFonts w:ascii="Times New Roman" w:hAnsi="Times New Roman"/>
          <w:sz w:val="22"/>
          <w:szCs w:val="22"/>
        </w:rPr>
        <w:t>Le non-respect des exigences exposées ci-après constitue une irrégularité susceptible d’entraîner le rejet de l’offre. Toutes les offres soumises doivent être conformes aux exigences prévues dans le dossier d’appel d’offres et comporter</w:t>
      </w:r>
      <w:r w:rsidR="00E90392">
        <w:rPr>
          <w:rFonts w:ascii="Times New Roman" w:hAnsi="Times New Roman"/>
          <w:sz w:val="22"/>
          <w:szCs w:val="22"/>
        </w:rPr>
        <w:t xml:space="preserve"> </w:t>
      </w:r>
      <w:r>
        <w:rPr>
          <w:rFonts w:ascii="Times New Roman" w:hAnsi="Times New Roman"/>
          <w:sz w:val="22"/>
          <w:szCs w:val="22"/>
        </w:rPr>
        <w:t>:</w:t>
      </w:r>
    </w:p>
    <w:p w14:paraId="356CB204" w14:textId="597753F3" w:rsidR="0047783A" w:rsidRPr="00E82463" w:rsidRDefault="0047783A" w:rsidP="00C348C0">
      <w:pPr>
        <w:keepNext/>
        <w:keepLines/>
        <w:ind w:left="567"/>
        <w:jc w:val="both"/>
        <w:outlineLvl w:val="0"/>
        <w:rPr>
          <w:rFonts w:ascii="Times New Roman" w:hAnsi="Times New Roman"/>
          <w:b/>
          <w:sz w:val="22"/>
          <w:szCs w:val="22"/>
        </w:rPr>
      </w:pPr>
      <w:r>
        <w:rPr>
          <w:rFonts w:ascii="Times New Roman" w:hAnsi="Times New Roman"/>
          <w:b/>
          <w:sz w:val="22"/>
          <w:szCs w:val="22"/>
        </w:rPr>
        <w:t>Partie 1</w:t>
      </w:r>
      <w:r w:rsidR="00E90392">
        <w:rPr>
          <w:rFonts w:ascii="Times New Roman" w:hAnsi="Times New Roman"/>
          <w:b/>
          <w:sz w:val="22"/>
          <w:szCs w:val="22"/>
        </w:rPr>
        <w:t xml:space="preserve"> </w:t>
      </w:r>
      <w:r>
        <w:rPr>
          <w:rFonts w:ascii="Times New Roman" w:hAnsi="Times New Roman"/>
          <w:b/>
          <w:sz w:val="22"/>
          <w:szCs w:val="22"/>
        </w:rPr>
        <w:t>: offre technique:</w:t>
      </w:r>
      <w:r w:rsidR="00E90392">
        <w:rPr>
          <w:rFonts w:ascii="Times New Roman" w:hAnsi="Times New Roman"/>
          <w:b/>
          <w:sz w:val="22"/>
          <w:szCs w:val="22"/>
        </w:rPr>
        <w:t xml:space="preserve"> </w:t>
      </w:r>
    </w:p>
    <w:p w14:paraId="25F60D7C" w14:textId="77777777" w:rsidR="0047783A" w:rsidRPr="00E82463" w:rsidRDefault="0047783A" w:rsidP="00C348C0">
      <w:pPr>
        <w:pStyle w:val="Titre2"/>
        <w:keepLines/>
        <w:numPr>
          <w:ilvl w:val="0"/>
          <w:numId w:val="6"/>
        </w:numPr>
        <w:tabs>
          <w:tab w:val="num" w:pos="1134"/>
        </w:tabs>
        <w:spacing w:before="0" w:after="0"/>
        <w:ind w:left="1135" w:hanging="568"/>
        <w:rPr>
          <w:rFonts w:ascii="Times New Roman" w:hAnsi="Times New Roman"/>
          <w:sz w:val="22"/>
          <w:szCs w:val="22"/>
        </w:rPr>
      </w:pPr>
      <w:r>
        <w:rPr>
          <w:rFonts w:ascii="Times New Roman" w:hAnsi="Times New Roman"/>
          <w:sz w:val="22"/>
          <w:szCs w:val="22"/>
        </w:rPr>
        <w:t>une description détaillée des fournitures proposées, conformément aux spécifications techniques, incluant, le cas échéant, la documentation requise, notamment:</w:t>
      </w:r>
    </w:p>
    <w:p w14:paraId="6B701334" w14:textId="43C4C748" w:rsidR="0047783A" w:rsidRPr="00E90392" w:rsidRDefault="0047783A" w:rsidP="0047783A">
      <w:pPr>
        <w:numPr>
          <w:ilvl w:val="1"/>
          <w:numId w:val="10"/>
        </w:numPr>
        <w:spacing w:after="0"/>
        <w:ind w:hanging="306"/>
        <w:rPr>
          <w:rFonts w:ascii="Times New Roman" w:hAnsi="Times New Roman"/>
          <w:sz w:val="22"/>
          <w:szCs w:val="22"/>
        </w:rPr>
      </w:pPr>
      <w:r w:rsidRPr="00E90392">
        <w:rPr>
          <w:rFonts w:ascii="Times New Roman" w:hAnsi="Times New Roman"/>
          <w:sz w:val="22"/>
          <w:szCs w:val="22"/>
        </w:rPr>
        <w:t>la liste des pièces de rechange et des consommables recommandés par le fabricant;</w:t>
      </w:r>
    </w:p>
    <w:p w14:paraId="459DA4D5" w14:textId="56C263B0" w:rsidR="0047783A" w:rsidRPr="00E90392" w:rsidRDefault="0047783A" w:rsidP="0047783A">
      <w:pPr>
        <w:numPr>
          <w:ilvl w:val="1"/>
          <w:numId w:val="10"/>
        </w:numPr>
        <w:spacing w:after="0"/>
        <w:ind w:hanging="306"/>
        <w:rPr>
          <w:rFonts w:ascii="Times New Roman" w:hAnsi="Times New Roman"/>
          <w:sz w:val="22"/>
          <w:szCs w:val="22"/>
        </w:rPr>
      </w:pPr>
      <w:r w:rsidRPr="00E90392">
        <w:rPr>
          <w:rFonts w:ascii="Times New Roman" w:hAnsi="Times New Roman"/>
          <w:sz w:val="22"/>
          <w:szCs w:val="22"/>
        </w:rPr>
        <w:t xml:space="preserve">une proposition de service après-vente pendant </w:t>
      </w:r>
      <w:r w:rsidR="00E90392">
        <w:rPr>
          <w:rFonts w:ascii="Times New Roman" w:hAnsi="Times New Roman"/>
          <w:sz w:val="22"/>
          <w:szCs w:val="22"/>
        </w:rPr>
        <w:t>un</w:t>
      </w:r>
      <w:r w:rsidRPr="00E90392">
        <w:rPr>
          <w:rFonts w:ascii="Times New Roman" w:hAnsi="Times New Roman"/>
          <w:sz w:val="22"/>
          <w:szCs w:val="22"/>
        </w:rPr>
        <w:t xml:space="preserve"> an</w:t>
      </w:r>
      <w:r w:rsidR="00E90392">
        <w:rPr>
          <w:rFonts w:ascii="Times New Roman" w:hAnsi="Times New Roman"/>
          <w:sz w:val="22"/>
          <w:szCs w:val="22"/>
        </w:rPr>
        <w:t xml:space="preserve"> </w:t>
      </w:r>
      <w:r w:rsidR="004D111F" w:rsidRPr="001C0167">
        <w:rPr>
          <w:rFonts w:ascii="Times New Roman" w:hAnsi="Times New Roman"/>
          <w:sz w:val="22"/>
          <w:lang w:val="fr-BE"/>
        </w:rPr>
        <w:t xml:space="preserve">pour le congélateur (lot 2 article n° 15), le réfrigérateur (lot 2 article n° 16), l’ordinateur associé au scanner (lot 3 article n°1), le </w:t>
      </w:r>
      <w:r w:rsidR="004D111F" w:rsidRPr="001C0167">
        <w:rPr>
          <w:rFonts w:ascii="Times New Roman" w:hAnsi="Times New Roman"/>
          <w:sz w:val="22"/>
          <w:szCs w:val="22"/>
          <w:lang w:val="fr-BE"/>
        </w:rPr>
        <w:t xml:space="preserve">scanner biologique (lot 3 article n° 2), les </w:t>
      </w:r>
      <w:r w:rsidR="004D111F" w:rsidRPr="001C0167">
        <w:rPr>
          <w:rFonts w:ascii="Times New Roman" w:hAnsi="Times New Roman"/>
          <w:sz w:val="22"/>
          <w:lang w:val="fr-BE"/>
        </w:rPr>
        <w:t>groupes électrogènes (lot 4).</w:t>
      </w:r>
    </w:p>
    <w:p w14:paraId="63F5D5F5" w14:textId="55DDF3A7" w:rsidR="0047783A" w:rsidRDefault="0047783A" w:rsidP="0047783A">
      <w:pPr>
        <w:ind w:left="567"/>
        <w:rPr>
          <w:rFonts w:ascii="Times New Roman" w:hAnsi="Times New Roman"/>
          <w:sz w:val="22"/>
          <w:szCs w:val="22"/>
        </w:rPr>
      </w:pPr>
      <w:r>
        <w:rPr>
          <w:rFonts w:ascii="Times New Roman" w:hAnsi="Times New Roman"/>
          <w:sz w:val="22"/>
          <w:szCs w:val="22"/>
        </w:rPr>
        <w:lastRenderedPageBreak/>
        <w:t>L’offre technique doit être présentée au moyen du modèle fourni (annexes II + III* — Offre technique du contractant), des précisions pouvant être ajoutées sur des feuilles séparées, si nécessaire.</w:t>
      </w:r>
    </w:p>
    <w:p w14:paraId="691E1462" w14:textId="77777777" w:rsidR="0047783A" w:rsidRPr="00E82463" w:rsidRDefault="0047783A" w:rsidP="0047783A">
      <w:pPr>
        <w:ind w:left="567"/>
        <w:jc w:val="both"/>
        <w:outlineLvl w:val="0"/>
        <w:rPr>
          <w:rFonts w:ascii="Times New Roman" w:hAnsi="Times New Roman"/>
          <w:b/>
          <w:sz w:val="22"/>
          <w:szCs w:val="22"/>
        </w:rPr>
      </w:pPr>
      <w:r>
        <w:rPr>
          <w:rFonts w:ascii="Times New Roman" w:hAnsi="Times New Roman"/>
          <w:b/>
          <w:sz w:val="22"/>
          <w:szCs w:val="22"/>
        </w:rPr>
        <w:t>Partie 2: offre financière:</w:t>
      </w:r>
    </w:p>
    <w:p w14:paraId="4200E186" w14:textId="73F12B57" w:rsidR="0047783A" w:rsidRPr="00E82463" w:rsidRDefault="0047783A" w:rsidP="0047783A">
      <w:pPr>
        <w:pStyle w:val="Titre2"/>
        <w:keepNext w:val="0"/>
        <w:numPr>
          <w:ilvl w:val="0"/>
          <w:numId w:val="6"/>
        </w:numPr>
        <w:tabs>
          <w:tab w:val="num" w:pos="1134"/>
        </w:tabs>
        <w:spacing w:before="0" w:after="0"/>
        <w:ind w:left="1135" w:hanging="568"/>
        <w:rPr>
          <w:rFonts w:ascii="Times New Roman" w:hAnsi="Times New Roman"/>
          <w:sz w:val="22"/>
          <w:szCs w:val="22"/>
        </w:rPr>
      </w:pPr>
      <w:r>
        <w:rPr>
          <w:rFonts w:ascii="Times New Roman" w:hAnsi="Times New Roman"/>
          <w:sz w:val="22"/>
          <w:szCs w:val="22"/>
        </w:rPr>
        <w:t xml:space="preserve">une offre financière, calculée sur une base </w:t>
      </w:r>
      <w:r w:rsidRPr="00E90392">
        <w:rPr>
          <w:rFonts w:ascii="Times New Roman" w:hAnsi="Times New Roman"/>
          <w:sz w:val="22"/>
          <w:szCs w:val="22"/>
        </w:rPr>
        <w:t>DDP</w:t>
      </w:r>
      <w:r w:rsidRPr="00E82463">
        <w:rPr>
          <w:rStyle w:val="Appelnotedebasdep"/>
          <w:rFonts w:ascii="Times New Roman" w:hAnsi="Times New Roman"/>
        </w:rPr>
        <w:footnoteReference w:id="5"/>
      </w:r>
      <w:r>
        <w:rPr>
          <w:rFonts w:ascii="Times New Roman" w:hAnsi="Times New Roman"/>
          <w:sz w:val="22"/>
          <w:szCs w:val="22"/>
        </w:rPr>
        <w:t xml:space="preserve"> pour les fournitures proposées, incluant, le cas échéant:</w:t>
      </w:r>
    </w:p>
    <w:p w14:paraId="36D89710" w14:textId="390824D9" w:rsidR="0047783A" w:rsidRPr="00E90392" w:rsidRDefault="0047783A" w:rsidP="0047783A">
      <w:pPr>
        <w:numPr>
          <w:ilvl w:val="1"/>
          <w:numId w:val="10"/>
        </w:numPr>
        <w:spacing w:after="0"/>
        <w:ind w:hanging="306"/>
        <w:rPr>
          <w:rFonts w:ascii="Times New Roman" w:hAnsi="Times New Roman"/>
          <w:sz w:val="22"/>
          <w:szCs w:val="22"/>
        </w:rPr>
      </w:pPr>
      <w:r w:rsidRPr="00E90392">
        <w:rPr>
          <w:rFonts w:ascii="Times New Roman" w:hAnsi="Times New Roman"/>
          <w:sz w:val="22"/>
          <w:szCs w:val="22"/>
        </w:rPr>
        <w:t xml:space="preserve">une offre financière pour les pièces de rechange et les consommables pour une utilisation pendant </w:t>
      </w:r>
      <w:r w:rsidR="00E90392">
        <w:rPr>
          <w:rFonts w:ascii="Times New Roman" w:hAnsi="Times New Roman"/>
          <w:sz w:val="22"/>
          <w:szCs w:val="22"/>
        </w:rPr>
        <w:t>un</w:t>
      </w:r>
      <w:r w:rsidRPr="00E90392">
        <w:rPr>
          <w:rFonts w:ascii="Times New Roman" w:hAnsi="Times New Roman"/>
          <w:sz w:val="22"/>
          <w:szCs w:val="22"/>
        </w:rPr>
        <w:t xml:space="preserve"> an</w:t>
      </w:r>
      <w:r w:rsidR="00E90392">
        <w:rPr>
          <w:rFonts w:ascii="Times New Roman" w:hAnsi="Times New Roman"/>
          <w:sz w:val="22"/>
          <w:szCs w:val="22"/>
        </w:rPr>
        <w:t xml:space="preserve"> </w:t>
      </w:r>
      <w:r w:rsidRPr="00E90392">
        <w:rPr>
          <w:rFonts w:ascii="Times New Roman" w:hAnsi="Times New Roman"/>
          <w:sz w:val="22"/>
          <w:szCs w:val="22"/>
        </w:rPr>
        <w:t>avec la liste des prix par article</w:t>
      </w:r>
      <w:r w:rsidR="00B6700D">
        <w:rPr>
          <w:rFonts w:ascii="Times New Roman" w:hAnsi="Times New Roman"/>
          <w:sz w:val="22"/>
          <w:szCs w:val="22"/>
        </w:rPr>
        <w:t xml:space="preserve"> </w:t>
      </w:r>
      <w:r w:rsidRPr="00E90392">
        <w:rPr>
          <w:rFonts w:ascii="Times New Roman" w:hAnsi="Times New Roman"/>
          <w:sz w:val="22"/>
          <w:szCs w:val="22"/>
        </w:rPr>
        <w:t>;</w:t>
      </w:r>
    </w:p>
    <w:p w14:paraId="2E28224C" w14:textId="42044642" w:rsidR="0047783A" w:rsidRPr="00B6700D" w:rsidRDefault="0047783A" w:rsidP="0047783A">
      <w:pPr>
        <w:numPr>
          <w:ilvl w:val="1"/>
          <w:numId w:val="10"/>
        </w:numPr>
        <w:spacing w:after="0"/>
        <w:ind w:hanging="306"/>
        <w:rPr>
          <w:rFonts w:ascii="Times New Roman" w:hAnsi="Times New Roman"/>
          <w:sz w:val="22"/>
          <w:szCs w:val="22"/>
        </w:rPr>
      </w:pPr>
      <w:r w:rsidRPr="00B6700D">
        <w:rPr>
          <w:rFonts w:ascii="Times New Roman" w:hAnsi="Times New Roman"/>
          <w:sz w:val="22"/>
          <w:szCs w:val="22"/>
        </w:rPr>
        <w:t>une offre financière pour le service après-vente pour</w:t>
      </w:r>
      <w:r w:rsidR="00B6700D">
        <w:rPr>
          <w:rFonts w:ascii="Times New Roman" w:hAnsi="Times New Roman"/>
          <w:sz w:val="22"/>
          <w:szCs w:val="22"/>
        </w:rPr>
        <w:t xml:space="preserve"> un an </w:t>
      </w:r>
      <w:r w:rsidRPr="00B6700D">
        <w:rPr>
          <w:rFonts w:ascii="Times New Roman" w:hAnsi="Times New Roman"/>
          <w:sz w:val="22"/>
          <w:szCs w:val="22"/>
        </w:rPr>
        <w:t>;</w:t>
      </w:r>
    </w:p>
    <w:p w14:paraId="664111AC" w14:textId="631FF7FA" w:rsidR="0047783A" w:rsidRDefault="0047783A" w:rsidP="0047783A">
      <w:pPr>
        <w:spacing w:after="0"/>
        <w:ind w:left="567"/>
        <w:rPr>
          <w:rFonts w:ascii="Times New Roman" w:hAnsi="Times New Roman"/>
          <w:sz w:val="22"/>
          <w:szCs w:val="22"/>
        </w:rPr>
      </w:pPr>
      <w:r>
        <w:rPr>
          <w:rFonts w:ascii="Times New Roman" w:hAnsi="Times New Roman"/>
          <w:sz w:val="22"/>
          <w:szCs w:val="22"/>
        </w:rPr>
        <w:t>Cette offre financière doit être présentée au moyen du modèle fourni (annexe IV*, Budget ventilé), des précisions pouvant être ajoutées sur des feuilles séparées, si nécessaire.</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Pr>
          <w:sz w:val="22"/>
        </w:rPr>
        <w:t>En cas de doute quant au régime de TVA applicable, il appartient au soumissionnaire de prendre contact avec les autorités de son pays pour obtenir des éclaircissements sur l’exonération de TVA dont bénéficie l’Union européenne.</w:t>
      </w:r>
    </w:p>
    <w:p w14:paraId="3A6CE24F" w14:textId="7D757416" w:rsidR="0047783A" w:rsidRPr="00E82463" w:rsidRDefault="0047783A" w:rsidP="00C348C0">
      <w:pPr>
        <w:keepNext/>
        <w:keepLines/>
        <w:spacing w:after="0"/>
        <w:ind w:left="567"/>
        <w:rPr>
          <w:rFonts w:ascii="Times New Roman" w:hAnsi="Times New Roman"/>
          <w:b/>
          <w:sz w:val="22"/>
          <w:szCs w:val="22"/>
        </w:rPr>
      </w:pPr>
      <w:r>
        <w:rPr>
          <w:rFonts w:ascii="Times New Roman" w:hAnsi="Times New Roman"/>
          <w:b/>
          <w:sz w:val="22"/>
          <w:szCs w:val="22"/>
        </w:rPr>
        <w:t>Partie 3</w:t>
      </w:r>
      <w:r w:rsidR="008563E1">
        <w:rPr>
          <w:rFonts w:ascii="Times New Roman" w:hAnsi="Times New Roman"/>
          <w:b/>
          <w:sz w:val="22"/>
          <w:szCs w:val="22"/>
        </w:rPr>
        <w:t xml:space="preserve"> </w:t>
      </w:r>
      <w:r>
        <w:rPr>
          <w:rFonts w:ascii="Times New Roman" w:hAnsi="Times New Roman"/>
          <w:b/>
          <w:sz w:val="22"/>
          <w:szCs w:val="22"/>
        </w:rPr>
        <w:t>: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Pr>
          <w:rFonts w:ascii="Times New Roman" w:hAnsi="Times New Roman"/>
          <w:sz w:val="22"/>
          <w:szCs w:val="22"/>
        </w:rPr>
        <w:t>À fournir au moyen des modèles joints*:</w:t>
      </w:r>
    </w:p>
    <w:p w14:paraId="2DC9C0E9" w14:textId="4804EB33" w:rsidR="00AC0DE2" w:rsidRPr="008563E1" w:rsidRDefault="0047783A" w:rsidP="0044090C">
      <w:pPr>
        <w:numPr>
          <w:ilvl w:val="0"/>
          <w:numId w:val="6"/>
        </w:numPr>
        <w:tabs>
          <w:tab w:val="num" w:pos="851"/>
        </w:tabs>
        <w:jc w:val="both"/>
        <w:rPr>
          <w:rFonts w:ascii="Times New Roman" w:hAnsi="Times New Roman"/>
          <w:sz w:val="22"/>
          <w:szCs w:val="22"/>
        </w:rPr>
      </w:pPr>
      <w:r>
        <w:rPr>
          <w:rFonts w:ascii="Times New Roman" w:hAnsi="Times New Roman"/>
          <w:sz w:val="22"/>
          <w:szCs w:val="22"/>
        </w:rPr>
        <w:t>Le</w:t>
      </w:r>
      <w:r w:rsidR="008563E1">
        <w:rPr>
          <w:rFonts w:ascii="Times New Roman" w:hAnsi="Times New Roman"/>
          <w:sz w:val="22"/>
          <w:szCs w:val="22"/>
        </w:rPr>
        <w:t xml:space="preserve"> « bordereau</w:t>
      </w:r>
      <w:r>
        <w:rPr>
          <w:rFonts w:ascii="Times New Roman" w:hAnsi="Times New Roman"/>
          <w:sz w:val="22"/>
          <w:szCs w:val="22"/>
        </w:rPr>
        <w:t xml:space="preserve"> de soumission pour un marché de </w:t>
      </w:r>
      <w:r w:rsidR="008563E1">
        <w:rPr>
          <w:rFonts w:ascii="Times New Roman" w:hAnsi="Times New Roman"/>
          <w:sz w:val="22"/>
          <w:szCs w:val="22"/>
        </w:rPr>
        <w:t>fournitures »</w:t>
      </w:r>
      <w:r>
        <w:rPr>
          <w:rFonts w:ascii="Times New Roman" w:hAnsi="Times New Roman"/>
          <w:sz w:val="22"/>
          <w:szCs w:val="22"/>
        </w:rPr>
        <w:t xml:space="preserve"> ainsi que son annexe 1 </w:t>
      </w:r>
      <w:r w:rsidR="008563E1">
        <w:rPr>
          <w:rFonts w:ascii="Times New Roman" w:hAnsi="Times New Roman"/>
          <w:sz w:val="22"/>
          <w:szCs w:val="22"/>
        </w:rPr>
        <w:t>(«</w:t>
      </w:r>
      <w:r w:rsidR="008563E1">
        <w:rPr>
          <w:rFonts w:ascii="Times New Roman" w:hAnsi="Times New Roman"/>
          <w:b/>
          <w:sz w:val="22"/>
          <w:szCs w:val="22"/>
        </w:rPr>
        <w:t xml:space="preserve"> Déclaration</w:t>
      </w:r>
      <w:r>
        <w:rPr>
          <w:rFonts w:ascii="Times New Roman" w:hAnsi="Times New Roman"/>
          <w:b/>
          <w:sz w:val="22"/>
          <w:szCs w:val="22"/>
        </w:rPr>
        <w:t xml:space="preserve"> sur l’honneur relative aux critères d’exclusion et de </w:t>
      </w:r>
      <w:r w:rsidR="008563E1">
        <w:rPr>
          <w:rFonts w:ascii="Times New Roman" w:hAnsi="Times New Roman"/>
          <w:b/>
          <w:sz w:val="22"/>
          <w:szCs w:val="22"/>
        </w:rPr>
        <w:t>sélection</w:t>
      </w:r>
      <w:r w:rsidR="008563E1">
        <w:rPr>
          <w:rFonts w:ascii="Times New Roman" w:hAnsi="Times New Roman"/>
          <w:sz w:val="22"/>
          <w:szCs w:val="22"/>
        </w:rPr>
        <w:t xml:space="preserve"> »</w:t>
      </w:r>
      <w:r>
        <w:rPr>
          <w:rFonts w:ascii="Times New Roman" w:hAnsi="Times New Roman"/>
          <w:sz w:val="22"/>
          <w:szCs w:val="22"/>
        </w:rPr>
        <w:t>), tous deux dûment complétés, y compris la déclaration du soumissionnaire, point 7 (pour chaque membre, en cas de consortium</w:t>
      </w:r>
      <w:r w:rsidR="00B4624E">
        <w:rPr>
          <w:rFonts w:ascii="Times New Roman" w:hAnsi="Times New Roman"/>
          <w:sz w:val="22"/>
          <w:szCs w:val="22"/>
        </w:rPr>
        <w:t xml:space="preserve"> et pour chaque entité</w:t>
      </w:r>
      <w:r w:rsidR="0044090C">
        <w:rPr>
          <w:rFonts w:ascii="Times New Roman" w:hAnsi="Times New Roman"/>
          <w:sz w:val="22"/>
          <w:szCs w:val="22"/>
        </w:rPr>
        <w:t xml:space="preserve"> pourvoyeuse de capacité ou sous-traitant (le cas échéant)</w:t>
      </w:r>
      <w:r>
        <w:rPr>
          <w:rFonts w:ascii="Times New Roman" w:hAnsi="Times New Roman"/>
          <w:sz w:val="22"/>
          <w:szCs w:val="22"/>
        </w:rPr>
        <w:t xml:space="preserve">. </w:t>
      </w:r>
      <w:r w:rsidRPr="008563E1">
        <w:rPr>
          <w:rFonts w:ascii="Times New Roman" w:hAnsi="Times New Roman"/>
          <w:sz w:val="22"/>
          <w:szCs w:val="22"/>
        </w:rPr>
        <w:t xml:space="preserve">Une copie de la déclaration originale signée doit être fournie. L’original doit être conservé par le soumissionnaire et peut être demandé par le pouvoir adjudicateur. </w:t>
      </w:r>
    </w:p>
    <w:p w14:paraId="2F0314E8" w14:textId="15DC684A" w:rsidR="0047783A" w:rsidRPr="00E82463" w:rsidRDefault="0047783A" w:rsidP="007C6835">
      <w:pPr>
        <w:numPr>
          <w:ilvl w:val="0"/>
          <w:numId w:val="6"/>
        </w:numPr>
        <w:spacing w:before="0" w:after="240"/>
        <w:jc w:val="both"/>
        <w:rPr>
          <w:rFonts w:ascii="Times New Roman" w:hAnsi="Times New Roman"/>
          <w:sz w:val="22"/>
          <w:szCs w:val="22"/>
        </w:rPr>
      </w:pPr>
      <w:r>
        <w:rPr>
          <w:rFonts w:ascii="Times New Roman" w:hAnsi="Times New Roman"/>
          <w:sz w:val="22"/>
          <w:szCs w:val="22"/>
        </w:rPr>
        <w:t>Les informations bancaires relatives au compte sur lequel les paiements devront être effectués (formulaire</w:t>
      </w:r>
      <w:r w:rsidR="008563E1">
        <w:rPr>
          <w:rFonts w:ascii="Times New Roman" w:hAnsi="Times New Roman"/>
          <w:sz w:val="22"/>
          <w:szCs w:val="22"/>
        </w:rPr>
        <w:t xml:space="preserve"> « signalétique</w:t>
      </w:r>
      <w:r>
        <w:rPr>
          <w:rFonts w:ascii="Times New Roman" w:hAnsi="Times New Roman"/>
          <w:sz w:val="22"/>
          <w:szCs w:val="22"/>
        </w:rPr>
        <w:t xml:space="preserve"> </w:t>
      </w:r>
      <w:r w:rsidR="008563E1">
        <w:rPr>
          <w:rFonts w:ascii="Times New Roman" w:hAnsi="Times New Roman"/>
          <w:sz w:val="22"/>
          <w:szCs w:val="22"/>
        </w:rPr>
        <w:t>financier »</w:t>
      </w:r>
      <w:r>
        <w:rPr>
          <w:rFonts w:ascii="Times New Roman" w:hAnsi="Times New Roman"/>
          <w:sz w:val="22"/>
          <w:szCs w:val="22"/>
        </w:rPr>
        <w:t xml:space="preserve"> — document c4o1_fif_fr)</w:t>
      </w:r>
      <w:r>
        <w:rPr>
          <w:rFonts w:ascii="Times New Roman" w:hAnsi="Times New Roman"/>
        </w:rPr>
        <w:t xml:space="preserve"> (</w:t>
      </w:r>
      <w:r>
        <w:rPr>
          <w:rFonts w:ascii="Times New Roman" w:hAnsi="Times New Roman"/>
          <w:sz w:val="22"/>
          <w:szCs w:val="22"/>
        </w:rPr>
        <w:t>les soumissionnaires qui ont déjà signé un autre contrat avec la Commission européenne peuvent fournir à la place du formulaire</w:t>
      </w:r>
      <w:r w:rsidR="008563E1">
        <w:rPr>
          <w:rFonts w:ascii="Times New Roman" w:hAnsi="Times New Roman"/>
          <w:sz w:val="22"/>
          <w:szCs w:val="22"/>
        </w:rPr>
        <w:t xml:space="preserve"> « signalétique</w:t>
      </w:r>
      <w:r>
        <w:rPr>
          <w:rFonts w:ascii="Times New Roman" w:hAnsi="Times New Roman"/>
          <w:sz w:val="22"/>
          <w:szCs w:val="22"/>
        </w:rPr>
        <w:t xml:space="preserve"> </w:t>
      </w:r>
      <w:r w:rsidR="008563E1">
        <w:rPr>
          <w:rFonts w:ascii="Times New Roman" w:hAnsi="Times New Roman"/>
          <w:sz w:val="22"/>
          <w:szCs w:val="22"/>
        </w:rPr>
        <w:t>financier »</w:t>
      </w:r>
      <w:r>
        <w:rPr>
          <w:rFonts w:ascii="Times New Roman" w:hAnsi="Times New Roman"/>
          <w:sz w:val="22"/>
          <w:szCs w:val="22"/>
        </w:rPr>
        <w:t xml:space="preserve"> le numéro du signalétique financier ou une copie du formulaire qu’ils ont fourni à cette occasion, à condition qu’aucun changement n’ait eu lieu entre-temps</w:t>
      </w:r>
      <w:r>
        <w:rPr>
          <w:rFonts w:ascii="Times New Roman" w:hAnsi="Times New Roman"/>
        </w:rPr>
        <w:t>).</w:t>
      </w:r>
    </w:p>
    <w:p w14:paraId="2445D29D" w14:textId="785325B8" w:rsidR="0047783A" w:rsidRPr="00E82463" w:rsidRDefault="0047783A" w:rsidP="007C6835">
      <w:pPr>
        <w:numPr>
          <w:ilvl w:val="0"/>
          <w:numId w:val="6"/>
        </w:numPr>
        <w:jc w:val="both"/>
        <w:rPr>
          <w:rFonts w:ascii="Times New Roman" w:hAnsi="Times New Roman"/>
          <w:sz w:val="22"/>
          <w:szCs w:val="22"/>
        </w:rPr>
      </w:pPr>
      <w:r>
        <w:rPr>
          <w:rFonts w:ascii="Times New Roman" w:hAnsi="Times New Roman"/>
          <w:sz w:val="22"/>
          <w:szCs w:val="22"/>
        </w:rPr>
        <w:t>Le formulaire</w:t>
      </w:r>
      <w:r w:rsidR="008563E1">
        <w:rPr>
          <w:rFonts w:ascii="Times New Roman" w:hAnsi="Times New Roman"/>
          <w:sz w:val="22"/>
          <w:szCs w:val="22"/>
        </w:rPr>
        <w:t xml:space="preserve"> « entité</w:t>
      </w:r>
      <w:r>
        <w:rPr>
          <w:rFonts w:ascii="Times New Roman" w:hAnsi="Times New Roman"/>
          <w:sz w:val="22"/>
          <w:szCs w:val="22"/>
        </w:rPr>
        <w:t xml:space="preserve"> </w:t>
      </w:r>
      <w:r w:rsidR="008563E1">
        <w:rPr>
          <w:rFonts w:ascii="Times New Roman" w:hAnsi="Times New Roman"/>
          <w:sz w:val="22"/>
          <w:szCs w:val="22"/>
        </w:rPr>
        <w:t>légale »</w:t>
      </w:r>
      <w:r>
        <w:rPr>
          <w:rFonts w:ascii="Times New Roman" w:hAnsi="Times New Roman"/>
          <w:sz w:val="22"/>
          <w:szCs w:val="22"/>
        </w:rPr>
        <w:t xml:space="preserve"> (document c4o2_lefind_fr) et les pièces justificatives (les soumissionnaires qui ont déjà signé un autre contrat avec la Commission européenne peuvent fournir à la place du formulaire</w:t>
      </w:r>
      <w:r w:rsidR="008563E1">
        <w:rPr>
          <w:rFonts w:ascii="Times New Roman" w:hAnsi="Times New Roman"/>
          <w:sz w:val="22"/>
          <w:szCs w:val="22"/>
        </w:rPr>
        <w:t xml:space="preserve"> « entité</w:t>
      </w:r>
      <w:r>
        <w:rPr>
          <w:rFonts w:ascii="Times New Roman" w:hAnsi="Times New Roman"/>
          <w:sz w:val="22"/>
          <w:szCs w:val="22"/>
        </w:rPr>
        <w:t xml:space="preserve"> </w:t>
      </w:r>
      <w:r w:rsidR="008563E1">
        <w:rPr>
          <w:rFonts w:ascii="Times New Roman" w:hAnsi="Times New Roman"/>
          <w:sz w:val="22"/>
          <w:szCs w:val="22"/>
        </w:rPr>
        <w:t>légale »</w:t>
      </w:r>
      <w:r>
        <w:rPr>
          <w:rFonts w:ascii="Times New Roman" w:hAnsi="Times New Roman"/>
          <w:sz w:val="22"/>
          <w:szCs w:val="22"/>
        </w:rPr>
        <w:t xml:space="preserve"> le numéro de leur entité légale ou une copie du formulaire</w:t>
      </w:r>
      <w:r w:rsidR="008563E1">
        <w:rPr>
          <w:rFonts w:ascii="Times New Roman" w:hAnsi="Times New Roman"/>
          <w:sz w:val="22"/>
          <w:szCs w:val="22"/>
        </w:rPr>
        <w:t xml:space="preserve"> « entité</w:t>
      </w:r>
      <w:r>
        <w:rPr>
          <w:rFonts w:ascii="Times New Roman" w:hAnsi="Times New Roman"/>
          <w:sz w:val="22"/>
          <w:szCs w:val="22"/>
        </w:rPr>
        <w:t xml:space="preserve"> </w:t>
      </w:r>
      <w:r w:rsidR="008563E1">
        <w:rPr>
          <w:rFonts w:ascii="Times New Roman" w:hAnsi="Times New Roman"/>
          <w:sz w:val="22"/>
          <w:szCs w:val="22"/>
        </w:rPr>
        <w:t>légale »</w:t>
      </w:r>
      <w:r>
        <w:rPr>
          <w:rFonts w:ascii="Times New Roman" w:hAnsi="Times New Roman"/>
          <w:sz w:val="22"/>
          <w:szCs w:val="22"/>
        </w:rPr>
        <w:t xml:space="preserve"> qu’ils ont fourni à cette occasion, à condition que leur statut juridique n’ait pas changé entre-temps).</w:t>
      </w:r>
    </w:p>
    <w:p w14:paraId="25AD8BB5" w14:textId="7C25A00A" w:rsidR="0047783A" w:rsidRPr="00E82463" w:rsidRDefault="0047783A" w:rsidP="0047783A">
      <w:pPr>
        <w:tabs>
          <w:tab w:val="left" w:pos="993"/>
        </w:tabs>
        <w:spacing w:after="0"/>
        <w:ind w:left="567"/>
        <w:rPr>
          <w:rFonts w:ascii="Times New Roman" w:hAnsi="Times New Roman"/>
          <w:sz w:val="22"/>
          <w:szCs w:val="22"/>
        </w:rPr>
      </w:pPr>
      <w:r>
        <w:rPr>
          <w:rFonts w:ascii="Times New Roman" w:hAnsi="Times New Roman"/>
          <w:sz w:val="22"/>
          <w:szCs w:val="22"/>
        </w:rPr>
        <w:t xml:space="preserve">À fournir sans contrainte de </w:t>
      </w:r>
      <w:r w:rsidR="008563E1">
        <w:rPr>
          <w:rFonts w:ascii="Times New Roman" w:hAnsi="Times New Roman"/>
          <w:sz w:val="22"/>
          <w:szCs w:val="22"/>
        </w:rPr>
        <w:t>format :</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Pr>
          <w:rFonts w:ascii="Times New Roman" w:hAnsi="Times New Roman"/>
          <w:sz w:val="22"/>
          <w:szCs w:val="22"/>
        </w:rPr>
        <w:t>Une description des conditions de la garantie, qui doivent être conformes aux conditions énoncées à l’article 32 des conditions générales.</w:t>
      </w:r>
    </w:p>
    <w:p w14:paraId="4D0B043C" w14:textId="159B97C9" w:rsidR="0047783A" w:rsidRPr="00B93A22" w:rsidRDefault="0047783A" w:rsidP="00AC07D4">
      <w:pPr>
        <w:numPr>
          <w:ilvl w:val="0"/>
          <w:numId w:val="6"/>
        </w:numPr>
        <w:tabs>
          <w:tab w:val="num" w:pos="1134"/>
        </w:tabs>
        <w:spacing w:after="0"/>
        <w:ind w:left="1135" w:hanging="568"/>
        <w:jc w:val="both"/>
        <w:rPr>
          <w:rFonts w:ascii="Times New Roman" w:hAnsi="Times New Roman"/>
          <w:sz w:val="22"/>
          <w:szCs w:val="22"/>
        </w:rPr>
      </w:pPr>
      <w:r w:rsidRPr="00E62FBD">
        <w:rPr>
          <w:rFonts w:ascii="Times New Roman" w:hAnsi="Times New Roman"/>
          <w:sz w:val="22"/>
          <w:szCs w:val="22"/>
        </w:rPr>
        <w:t>Une description de l’organisation de la garantie du produit, conformément aux conditions énoncées à l’article 32 des conditions particulières.</w:t>
      </w:r>
    </w:p>
    <w:p w14:paraId="3AAE3DA0" w14:textId="0D1ABC42" w:rsidR="0047783A" w:rsidRPr="00377E2C" w:rsidRDefault="00E27B37" w:rsidP="00E27B37">
      <w:pPr>
        <w:numPr>
          <w:ilvl w:val="0"/>
          <w:numId w:val="6"/>
        </w:numPr>
        <w:tabs>
          <w:tab w:val="num" w:pos="1134"/>
        </w:tabs>
        <w:spacing w:after="0"/>
        <w:jc w:val="both"/>
        <w:rPr>
          <w:rFonts w:ascii="Times New Roman" w:hAnsi="Times New Roman"/>
          <w:sz w:val="22"/>
          <w:szCs w:val="22"/>
        </w:rPr>
      </w:pPr>
      <w:r w:rsidRPr="00377E2C">
        <w:rPr>
          <w:rFonts w:ascii="Times New Roman" w:hAnsi="Times New Roman"/>
          <w:sz w:val="22"/>
          <w:szCs w:val="22"/>
        </w:rPr>
        <w:t>Une déclaration du soumissionnaire attestant l’origine des fournitures (ou un autre moyen de preuve de l’origine).</w:t>
      </w:r>
    </w:p>
    <w:p w14:paraId="497EF612" w14:textId="6CA48F06"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Pr>
          <w:rFonts w:ascii="Times New Roman" w:hAnsi="Times New Roman"/>
          <w:sz w:val="22"/>
          <w:szCs w:val="22"/>
        </w:rPr>
        <w:t xml:space="preserve">Signature dûment </w:t>
      </w:r>
      <w:r w:rsidR="00377E2C">
        <w:rPr>
          <w:rFonts w:ascii="Times New Roman" w:hAnsi="Times New Roman"/>
          <w:sz w:val="22"/>
          <w:szCs w:val="22"/>
        </w:rPr>
        <w:t>autorisée :</w:t>
      </w:r>
      <w:r>
        <w:rPr>
          <w:rFonts w:ascii="Times New Roman" w:hAnsi="Times New Roman"/>
          <w:sz w:val="22"/>
          <w:szCs w:val="22"/>
        </w:rPr>
        <w:t xml:space="preserve"> un document officiel (statuts, procuration, déclaration devant notaire,</w:t>
      </w:r>
      <w:r w:rsidR="00E160B3">
        <w:rPr>
          <w:rFonts w:ascii="Times New Roman" w:hAnsi="Times New Roman"/>
          <w:sz w:val="22"/>
          <w:szCs w:val="22"/>
        </w:rPr>
        <w:t> </w:t>
      </w:r>
      <w:r>
        <w:rPr>
          <w:rFonts w:ascii="Times New Roman" w:hAnsi="Times New Roman"/>
          <w:sz w:val="22"/>
          <w:szCs w:val="22"/>
        </w:rPr>
        <w:t>etc.) prouvant que la personne qui signe au nom de la société, de l’entreprise commune ou du consortium est habilitée à le faire.</w:t>
      </w:r>
    </w:p>
    <w:p w14:paraId="61B5AC68" w14:textId="77777777" w:rsidR="00377E2C" w:rsidRPr="00377E2C" w:rsidRDefault="00377E2C" w:rsidP="00377E2C">
      <w:pPr>
        <w:pStyle w:val="Paragraphedeliste"/>
        <w:numPr>
          <w:ilvl w:val="0"/>
          <w:numId w:val="6"/>
        </w:numPr>
        <w:rPr>
          <w:rFonts w:ascii="Times New Roman" w:eastAsia="Times New Roman" w:hAnsi="Times New Roman"/>
          <w:snapToGrid w:val="0"/>
        </w:rPr>
      </w:pPr>
      <w:r w:rsidRPr="00377E2C">
        <w:rPr>
          <w:rFonts w:ascii="Times New Roman" w:eastAsia="Times New Roman" w:hAnsi="Times New Roman"/>
          <w:snapToGrid w:val="0"/>
        </w:rPr>
        <w:lastRenderedPageBreak/>
        <w:t>Copies certifiées conformes de la Carte Statistique, du Registre du Commerce et de la Carte Fiscale de l’année 2022.</w:t>
      </w:r>
    </w:p>
    <w:p w14:paraId="5F7151C5" w14:textId="1BCA528B" w:rsidR="0047783A" w:rsidRPr="00E82463" w:rsidRDefault="0047783A" w:rsidP="0047783A">
      <w:pPr>
        <w:spacing w:after="0"/>
        <w:ind w:left="567"/>
        <w:jc w:val="both"/>
        <w:outlineLvl w:val="0"/>
        <w:rPr>
          <w:rFonts w:ascii="Times New Roman" w:hAnsi="Times New Roman"/>
          <w:sz w:val="22"/>
          <w:szCs w:val="22"/>
        </w:rPr>
      </w:pPr>
      <w:r>
        <w:rPr>
          <w:rFonts w:ascii="Times New Roman" w:hAnsi="Times New Roman"/>
          <w:sz w:val="22"/>
          <w:szCs w:val="22"/>
        </w:rPr>
        <w:t>Remarques</w:t>
      </w:r>
      <w:r w:rsidR="00377E2C">
        <w:rPr>
          <w:rFonts w:ascii="Times New Roman" w:hAnsi="Times New Roman"/>
          <w:sz w:val="22"/>
          <w:szCs w:val="22"/>
        </w:rPr>
        <w:t xml:space="preserve"> </w:t>
      </w:r>
      <w:r>
        <w:rPr>
          <w:rFonts w:ascii="Times New Roman" w:hAnsi="Times New Roman"/>
          <w:sz w:val="22"/>
          <w:szCs w:val="22"/>
        </w:rPr>
        <w:t>:</w:t>
      </w:r>
    </w:p>
    <w:p w14:paraId="195ACF68" w14:textId="77777777" w:rsidR="0047783A" w:rsidRPr="00E82463" w:rsidRDefault="0047783A" w:rsidP="0047783A">
      <w:pPr>
        <w:spacing w:after="0"/>
        <w:ind w:left="567"/>
        <w:rPr>
          <w:rFonts w:ascii="Times New Roman" w:hAnsi="Times New Roman"/>
          <w:sz w:val="22"/>
          <w:szCs w:val="22"/>
        </w:rPr>
      </w:pPr>
      <w:r>
        <w:rPr>
          <w:rFonts w:ascii="Times New Roman" w:hAnsi="Times New Roman"/>
          <w:sz w:val="22"/>
          <w:szCs w:val="22"/>
        </w:rPr>
        <w:t>Les soumissionnaires sont priés de respecter cet ordre de présentation.</w:t>
      </w:r>
    </w:p>
    <w:p w14:paraId="4BD37E48" w14:textId="3744C1A7" w:rsidR="0047783A" w:rsidRDefault="0047783A" w:rsidP="0047783A">
      <w:pPr>
        <w:ind w:left="567"/>
        <w:rPr>
          <w:rFonts w:ascii="Times New Roman" w:hAnsi="Times New Roman"/>
          <w:snapToGrid/>
          <w:color w:val="0000FF"/>
          <w:sz w:val="22"/>
          <w:szCs w:val="22"/>
          <w:u w:val="single"/>
        </w:rPr>
      </w:pPr>
      <w:r>
        <w:rPr>
          <w:rFonts w:ascii="Times New Roman" w:hAnsi="Times New Roman"/>
          <w:sz w:val="22"/>
          <w:szCs w:val="22"/>
        </w:rPr>
        <w:t xml:space="preserve">Le terme annexe* se réfère aux modèles joints au dossier d’appel d’offres. Ces modèles sont également disponibles à l’adresse suivante: </w:t>
      </w:r>
      <w:hyperlink r:id="rId12" w:history="1">
        <w:r>
          <w:rPr>
            <w:rStyle w:val="Lienhypertexte"/>
            <w:rFonts w:ascii="Times New Roman" w:hAnsi="Times New Roman"/>
            <w:snapToGrid/>
            <w:sz w:val="22"/>
            <w:szCs w:val="22"/>
          </w:rPr>
          <w:t>http://ec.europa.eu/europeaid/prag/annexes.do?group=C</w:t>
        </w:r>
      </w:hyperlink>
      <w:r>
        <w:rPr>
          <w:rFonts w:ascii="Times New Roman" w:hAnsi="Times New Roman"/>
          <w:snapToGrid/>
          <w:color w:val="0000FF"/>
          <w:sz w:val="22"/>
          <w:szCs w:val="22"/>
          <w:u w:val="single"/>
        </w:rPr>
        <w:t xml:space="preserve"> </w:t>
      </w:r>
    </w:p>
    <w:p w14:paraId="0BA05E29" w14:textId="67E16CAF" w:rsidR="0047783A" w:rsidRPr="001A2BC4" w:rsidRDefault="00A633C6" w:rsidP="009956B4">
      <w:pPr>
        <w:pStyle w:val="Titre1"/>
      </w:pPr>
      <w:bookmarkStart w:id="19" w:name="_Toc42488081"/>
      <w:r>
        <w:t>12. Taxes et autres charges</w:t>
      </w:r>
      <w:bookmarkEnd w:id="19"/>
    </w:p>
    <w:p w14:paraId="224901BF" w14:textId="312787FD" w:rsidR="0047783A" w:rsidRPr="00E82463" w:rsidRDefault="0047783A" w:rsidP="00AC07D4">
      <w:pPr>
        <w:pStyle w:val="Titre2"/>
        <w:ind w:left="567"/>
        <w:jc w:val="both"/>
        <w:rPr>
          <w:rFonts w:ascii="Times New Roman" w:hAnsi="Times New Roman"/>
          <w:sz w:val="22"/>
        </w:rPr>
      </w:pPr>
      <w:r>
        <w:rPr>
          <w:rFonts w:ascii="Times New Roman" w:hAnsi="Times New Roman"/>
          <w:sz w:val="22"/>
        </w:rPr>
        <w:t>Le régime fiscal et douanier applicable est le suivant</w:t>
      </w:r>
      <w:r w:rsidR="00377E2C">
        <w:rPr>
          <w:rFonts w:ascii="Times New Roman" w:hAnsi="Times New Roman"/>
          <w:sz w:val="22"/>
        </w:rPr>
        <w:t xml:space="preserve"> </w:t>
      </w:r>
      <w:r>
        <w:rPr>
          <w:rFonts w:ascii="Times New Roman" w:hAnsi="Times New Roman"/>
          <w:sz w:val="22"/>
        </w:rPr>
        <w:t>:</w:t>
      </w:r>
    </w:p>
    <w:p w14:paraId="085D086F" w14:textId="77777777" w:rsidR="00377E2C" w:rsidRPr="00E82463" w:rsidRDefault="00377E2C" w:rsidP="00377E2C">
      <w:pPr>
        <w:ind w:left="567"/>
        <w:jc w:val="both"/>
        <w:rPr>
          <w:rFonts w:ascii="Times New Roman" w:hAnsi="Times New Roman"/>
          <w:sz w:val="22"/>
          <w:szCs w:val="22"/>
        </w:rPr>
      </w:pPr>
      <w:r w:rsidRPr="00465FC9">
        <w:rPr>
          <w:rFonts w:ascii="Times New Roman" w:hAnsi="Times New Roman"/>
          <w:sz w:val="22"/>
          <w:szCs w:val="22"/>
        </w:rPr>
        <w:t>La Commission européenne et l’Ordonnateur</w:t>
      </w:r>
      <w:r w:rsidRPr="00465FC9">
        <w:rPr>
          <w:rFonts w:ascii="Times New Roman" w:hAnsi="Times New Roman"/>
          <w:sz w:val="22"/>
        </w:rPr>
        <w:t xml:space="preserve"> National du Fonds Européen de Développement à Madagascar</w:t>
      </w:r>
      <w:r w:rsidRPr="00465FC9">
        <w:rPr>
          <w:rFonts w:ascii="Times New Roman" w:hAnsi="Times New Roman"/>
          <w:sz w:val="22"/>
          <w:szCs w:val="22"/>
        </w:rPr>
        <w:t xml:space="preserve"> sont convenus dans </w:t>
      </w:r>
      <w:r w:rsidRPr="00465FC9">
        <w:rPr>
          <w:rFonts w:ascii="Times New Roman" w:hAnsi="Times New Roman"/>
          <w:sz w:val="22"/>
        </w:rPr>
        <w:t>la Convention de Financement N°</w:t>
      </w:r>
      <w:r w:rsidRPr="00465FC9">
        <w:rPr>
          <w:rStyle w:val="lev"/>
          <w:rFonts w:ascii="Times New Roman" w:hAnsi="Times New Roman"/>
        </w:rPr>
        <w:t xml:space="preserve"> </w:t>
      </w:r>
      <w:r w:rsidRPr="00465FC9">
        <w:rPr>
          <w:rFonts w:ascii="Times New Roman" w:hAnsi="Times New Roman"/>
          <w:sz w:val="22"/>
        </w:rPr>
        <w:t>MG/FED/2017/038-662 d’une exonération totale des taxes.</w:t>
      </w:r>
    </w:p>
    <w:p w14:paraId="390B8495" w14:textId="541A7672" w:rsidR="0047783A" w:rsidRPr="00E82463" w:rsidRDefault="0047783A" w:rsidP="003051AA">
      <w:pPr>
        <w:pStyle w:val="Titre2"/>
        <w:keepNext w:val="0"/>
        <w:tabs>
          <w:tab w:val="num" w:pos="567"/>
        </w:tabs>
        <w:spacing w:before="0"/>
        <w:ind w:left="567"/>
        <w:jc w:val="both"/>
        <w:rPr>
          <w:rFonts w:ascii="Times New Roman" w:hAnsi="Times New Roman"/>
          <w:sz w:val="22"/>
        </w:rPr>
      </w:pPr>
      <w:r w:rsidRPr="00377E2C">
        <w:rPr>
          <w:rFonts w:ascii="Times New Roman" w:hAnsi="Times New Roman"/>
          <w:sz w:val="22"/>
        </w:rPr>
        <w:t>Les dispositions générales relatives au régime fiscal et douanier sont jointes au dossier d’appel d’offres.</w:t>
      </w:r>
    </w:p>
    <w:p w14:paraId="09EA0EDD" w14:textId="27BD8675" w:rsidR="0047783A" w:rsidRPr="001A2BC4" w:rsidRDefault="00A633C6" w:rsidP="009956B4">
      <w:pPr>
        <w:pStyle w:val="Titre1"/>
      </w:pPr>
      <w:bookmarkStart w:id="20" w:name="_Toc42488082"/>
      <w:r>
        <w:t>13. Informations complémentaires avant la date limite de soumission des offres</w:t>
      </w:r>
      <w:bookmarkEnd w:id="20"/>
    </w:p>
    <w:p w14:paraId="51A1D679" w14:textId="5796B119" w:rsidR="0047783A" w:rsidRDefault="0047783A" w:rsidP="00AC07D4">
      <w:pPr>
        <w:ind w:left="567"/>
        <w:jc w:val="both"/>
        <w:rPr>
          <w:rFonts w:ascii="Times New Roman" w:hAnsi="Times New Roman"/>
          <w:sz w:val="22"/>
        </w:rPr>
      </w:pPr>
      <w:r>
        <w:rPr>
          <w:rFonts w:ascii="Times New Roman" w:hAnsi="Times New Roman"/>
          <w:sz w:val="22"/>
        </w:rPr>
        <w:t>Le dossier d’appel d’offres doit être suffisamment clair afin d’éviter que les soumissionnaires aient à demander des informations complémentaires en cours de procédure. Si le pouvoir adjudicateur, de sa propre initiative ou en réponse à la demande d’un soumissionnaire potentiel, fournit des informations complémentaires sur le dossier d’appel d’offres, il doit communiquer ces informations par écrit et simultanément à tous les autres soumissionnaires potentiels.</w:t>
      </w:r>
    </w:p>
    <w:p w14:paraId="0307A758" w14:textId="7DD6C430" w:rsidR="00D37E3E" w:rsidRPr="007C1816" w:rsidRDefault="00D37E3E" w:rsidP="001A2BC4">
      <w:pPr>
        <w:ind w:left="567"/>
        <w:jc w:val="both"/>
        <w:rPr>
          <w:rFonts w:ascii="Times New Roman" w:hAnsi="Times New Roman"/>
          <w:sz w:val="22"/>
        </w:rPr>
      </w:pPr>
      <w:r w:rsidRPr="00377E2C">
        <w:rPr>
          <w:rFonts w:ascii="Times New Roman" w:hAnsi="Times New Roman"/>
          <w:sz w:val="22"/>
        </w:rPr>
        <w:t>Toute demande d’informations complémentaires doit être adressée par écrit sur le site internet TED </w:t>
      </w:r>
      <w:proofErr w:type="spellStart"/>
      <w:r w:rsidRPr="00377E2C">
        <w:rPr>
          <w:rFonts w:ascii="Times New Roman" w:hAnsi="Times New Roman"/>
          <w:sz w:val="22"/>
        </w:rPr>
        <w:t>eTendering</w:t>
      </w:r>
      <w:proofErr w:type="spellEnd"/>
      <w:r w:rsidRPr="00377E2C">
        <w:rPr>
          <w:rFonts w:ascii="Times New Roman" w:hAnsi="Times New Roman"/>
          <w:sz w:val="22"/>
        </w:rPr>
        <w:t>, accessible par l’intermédiaire du portail F&amp;T.</w:t>
      </w:r>
      <w:r w:rsidRPr="00377E2C">
        <w:rPr>
          <w:rFonts w:ascii="Times New Roman" w:hAnsi="Times New Roman"/>
        </w:rPr>
        <w:t xml:space="preserve"> </w:t>
      </w:r>
      <w:r w:rsidRPr="00377E2C">
        <w:rPr>
          <w:rFonts w:ascii="Times New Roman" w:hAnsi="Times New Roman"/>
          <w:sz w:val="22"/>
        </w:rPr>
        <w:t xml:space="preserve">Une inscription au site TED </w:t>
      </w:r>
      <w:proofErr w:type="spellStart"/>
      <w:r w:rsidRPr="00377E2C">
        <w:rPr>
          <w:rFonts w:ascii="Times New Roman" w:hAnsi="Times New Roman"/>
          <w:sz w:val="22"/>
        </w:rPr>
        <w:t>eTendering</w:t>
      </w:r>
      <w:proofErr w:type="spellEnd"/>
      <w:r w:rsidRPr="00377E2C">
        <w:rPr>
          <w:rFonts w:ascii="Times New Roman" w:hAnsi="Times New Roman"/>
          <w:sz w:val="22"/>
        </w:rPr>
        <w:t xml:space="preserve"> est nécessaire pour pouvoir créer et soumettre une question. Des informations complémentaires peuvent être demandées en cliquant sur «</w:t>
      </w:r>
      <w:proofErr w:type="spellStart"/>
      <w:r w:rsidRPr="00377E2C">
        <w:rPr>
          <w:rFonts w:ascii="Times New Roman" w:hAnsi="Times New Roman"/>
          <w:sz w:val="22"/>
        </w:rPr>
        <w:t>Create</w:t>
      </w:r>
      <w:proofErr w:type="spellEnd"/>
      <w:r w:rsidRPr="00377E2C">
        <w:rPr>
          <w:rFonts w:ascii="Times New Roman" w:hAnsi="Times New Roman"/>
          <w:sz w:val="22"/>
        </w:rPr>
        <w:t xml:space="preserve"> a question» (créer une question) dans l’onglet Questions et réponses au plus tard 21 jours avant la date limite de soumission des offres.</w:t>
      </w:r>
    </w:p>
    <w:p w14:paraId="6744EE18" w14:textId="193B0A97" w:rsidR="0047783A" w:rsidRDefault="0047783A" w:rsidP="00C976DE">
      <w:pPr>
        <w:pStyle w:val="Corpsdetexte"/>
        <w:ind w:left="567"/>
        <w:jc w:val="both"/>
        <w:rPr>
          <w:rFonts w:ascii="Times New Roman" w:hAnsi="Times New Roman"/>
          <w:sz w:val="22"/>
        </w:rPr>
      </w:pPr>
      <w:r w:rsidRPr="003363FD">
        <w:rPr>
          <w:rFonts w:ascii="Times New Roman" w:hAnsi="Times New Roman"/>
          <w:sz w:val="22"/>
        </w:rPr>
        <w:t xml:space="preserve">Tout éclaircissement sur le dossier d’appel d’offres sera publié sur TED </w:t>
      </w:r>
      <w:proofErr w:type="spellStart"/>
      <w:r w:rsidRPr="003363FD">
        <w:rPr>
          <w:rFonts w:ascii="Times New Roman" w:hAnsi="Times New Roman"/>
          <w:sz w:val="22"/>
        </w:rPr>
        <w:t>eTendering</w:t>
      </w:r>
      <w:proofErr w:type="spellEnd"/>
      <w:r w:rsidRPr="003363FD">
        <w:rPr>
          <w:rFonts w:ascii="Times New Roman" w:hAnsi="Times New Roman"/>
          <w:sz w:val="22"/>
        </w:rPr>
        <w:t xml:space="preserve"> et </w:t>
      </w:r>
      <w:r w:rsidR="003363FD" w:rsidRPr="003363FD">
        <w:rPr>
          <w:rFonts w:ascii="Times New Roman" w:hAnsi="Times New Roman"/>
          <w:sz w:val="22"/>
        </w:rPr>
        <w:t xml:space="preserve">le site web du </w:t>
      </w:r>
      <w:r w:rsidR="003363FD">
        <w:rPr>
          <w:rFonts w:ascii="Times New Roman" w:hAnsi="Times New Roman"/>
          <w:sz w:val="22"/>
        </w:rPr>
        <w:t>Bureau d’Appui à la Coopération Extérieure (</w:t>
      </w:r>
      <w:r w:rsidR="003363FD" w:rsidRPr="003363FD">
        <w:rPr>
          <w:rFonts w:ascii="Times New Roman" w:hAnsi="Times New Roman"/>
          <w:sz w:val="22"/>
        </w:rPr>
        <w:t>BACE</w:t>
      </w:r>
      <w:r w:rsidR="003363FD">
        <w:rPr>
          <w:rFonts w:ascii="Times New Roman" w:hAnsi="Times New Roman"/>
          <w:sz w:val="22"/>
        </w:rPr>
        <w:t>)</w:t>
      </w:r>
      <w:r w:rsidRPr="003363FD">
        <w:rPr>
          <w:rFonts w:ascii="Times New Roman" w:hAnsi="Times New Roman"/>
          <w:sz w:val="22"/>
        </w:rPr>
        <w:t xml:space="preserve"> au plus tard huit jours avant la date limite de soumission des offres. Ce site internet sera mis à jour régulièrement et les soumissionnaires ont la responsabilité de vérifier les mises à jour et modifications apportées pendant la période de soumission.</w:t>
      </w:r>
    </w:p>
    <w:p w14:paraId="5A6F00C2" w14:textId="77777777" w:rsidR="0047783A" w:rsidRPr="00E82463" w:rsidRDefault="0047783A" w:rsidP="00AC07D4">
      <w:pPr>
        <w:pStyle w:val="Corpsdetexte"/>
        <w:ind w:left="567"/>
        <w:jc w:val="both"/>
        <w:rPr>
          <w:rFonts w:ascii="Times New Roman" w:hAnsi="Times New Roman"/>
          <w:sz w:val="22"/>
        </w:rPr>
      </w:pPr>
      <w:r>
        <w:rPr>
          <w:rFonts w:ascii="Times New Roman" w:hAnsi="Times New Roman"/>
          <w:sz w:val="22"/>
        </w:rPr>
        <w:t>Les soumissionnaires potentiels qui chercheraient à organiser des réunions individuelles avec le pouvoir adjudicateur et/ou la Commission européenne au cours de la période de l’appel d’offres peuvent être exclus de l’appel d’offres.</w:t>
      </w:r>
    </w:p>
    <w:p w14:paraId="6F7CFDD9" w14:textId="7B19285F" w:rsidR="0047783A" w:rsidRPr="001A2BC4" w:rsidRDefault="00A633C6" w:rsidP="009956B4">
      <w:pPr>
        <w:pStyle w:val="Titre1"/>
      </w:pPr>
      <w:bookmarkStart w:id="21" w:name="_Toc42488083"/>
      <w:r>
        <w:t>14. Réunion d’information/visite du site</w:t>
      </w:r>
      <w:bookmarkEnd w:id="21"/>
    </w:p>
    <w:p w14:paraId="4B2DAFE3" w14:textId="2C2693E4" w:rsidR="0047783A" w:rsidRDefault="0047783A" w:rsidP="00AC07D4">
      <w:pPr>
        <w:pStyle w:val="Corpsdetexte"/>
        <w:ind w:left="567" w:hanging="567"/>
        <w:rPr>
          <w:rFonts w:ascii="Times New Roman" w:hAnsi="Times New Roman"/>
          <w:sz w:val="22"/>
          <w:szCs w:val="22"/>
        </w:rPr>
      </w:pPr>
      <w:r w:rsidRPr="00D14CAF">
        <w:rPr>
          <w:rFonts w:ascii="Times New Roman" w:hAnsi="Times New Roman"/>
          <w:sz w:val="22"/>
          <w:szCs w:val="22"/>
        </w:rPr>
        <w:t>14.1</w:t>
      </w:r>
      <w:r w:rsidRPr="00D14CAF">
        <w:rPr>
          <w:rFonts w:ascii="Times New Roman" w:hAnsi="Times New Roman"/>
          <w:sz w:val="22"/>
          <w:szCs w:val="22"/>
        </w:rPr>
        <w:tab/>
        <w:t>Aucune réunion d’information/visite du site n’est prévue. Aucune visite ne peut être organisée pour les soumissionnaires potentiels au cours de la période de l’appel d’offres.</w:t>
      </w:r>
    </w:p>
    <w:p w14:paraId="6214904C" w14:textId="485A3821" w:rsidR="0047783A" w:rsidRPr="001A2BC4" w:rsidRDefault="00D14CAF" w:rsidP="00D14CAF">
      <w:pPr>
        <w:pStyle w:val="Titre1"/>
        <w:ind w:left="0" w:firstLine="0"/>
      </w:pPr>
      <w:bookmarkStart w:id="22" w:name="_Toc42488084"/>
      <w:r>
        <w:lastRenderedPageBreak/>
        <w:t xml:space="preserve">15. </w:t>
      </w:r>
      <w:r w:rsidR="00183955">
        <w:t>Modification ou retrait des offres</w:t>
      </w:r>
      <w:bookmarkEnd w:id="22"/>
    </w:p>
    <w:p w14:paraId="31E0BA62" w14:textId="7A7742FB" w:rsidR="002F559C" w:rsidRPr="00D14CAF" w:rsidRDefault="002409FE" w:rsidP="004D111F">
      <w:pPr>
        <w:spacing w:before="0" w:after="0"/>
        <w:ind w:left="567" w:hanging="567"/>
        <w:jc w:val="both"/>
        <w:rPr>
          <w:rFonts w:ascii="Times New Roman" w:hAnsi="Times New Roman"/>
          <w:sz w:val="22"/>
        </w:rPr>
      </w:pPr>
      <w:r>
        <w:rPr>
          <w:rFonts w:ascii="Times New Roman" w:hAnsi="Times New Roman"/>
          <w:sz w:val="22"/>
          <w:szCs w:val="22"/>
        </w:rPr>
        <w:t xml:space="preserve"> </w:t>
      </w:r>
      <w:r w:rsidR="0047783A">
        <w:rPr>
          <w:rFonts w:ascii="Times New Roman" w:hAnsi="Times New Roman"/>
          <w:sz w:val="22"/>
        </w:rPr>
        <w:t>15.1</w:t>
      </w:r>
      <w:r w:rsidR="0047783A">
        <w:rPr>
          <w:rFonts w:ascii="Times New Roman" w:hAnsi="Times New Roman"/>
          <w:sz w:val="22"/>
        </w:rPr>
        <w:tab/>
      </w:r>
      <w:r w:rsidR="005071E3" w:rsidRPr="00D14CAF">
        <w:rPr>
          <w:rFonts w:ascii="Times New Roman" w:hAnsi="Times New Roman"/>
          <w:sz w:val="22"/>
          <w:szCs w:val="22"/>
        </w:rPr>
        <w:t>Les soumissionnaires peuvent modifier ou retirer leur offre par notification écrite avant la date limite de soumission des offres. Aucune offre ne pourra être modifiée après cette date. Les retraits sont inconditionnels et mettent fin à toute participation à l’appel d’offres.</w:t>
      </w:r>
      <w:r w:rsidR="005071E3" w:rsidRPr="00D14CAF">
        <w:rPr>
          <w:rFonts w:ascii="Times New Roman" w:hAnsi="Times New Roman"/>
          <w:sz w:val="22"/>
        </w:rPr>
        <w:t xml:space="preserve"> </w:t>
      </w:r>
      <w:r w:rsidR="005071E3" w:rsidRPr="00D14CAF">
        <w:rPr>
          <w:rFonts w:ascii="Times New Roman" w:hAnsi="Times New Roman"/>
          <w:sz w:val="22"/>
        </w:rPr>
        <w:tab/>
      </w:r>
    </w:p>
    <w:p w14:paraId="2F12C80F" w14:textId="1CBB0936" w:rsidR="0047783A" w:rsidRPr="00D14CAF" w:rsidRDefault="0047783A" w:rsidP="009956B4">
      <w:pPr>
        <w:pStyle w:val="Titre2"/>
        <w:keepNext w:val="0"/>
        <w:ind w:left="567"/>
        <w:jc w:val="both"/>
        <w:rPr>
          <w:rFonts w:ascii="Times New Roman" w:hAnsi="Times New Roman"/>
          <w:sz w:val="22"/>
          <w:szCs w:val="22"/>
        </w:rPr>
      </w:pPr>
      <w:r w:rsidRPr="00D14CAF">
        <w:rPr>
          <w:rFonts w:ascii="Times New Roman" w:hAnsi="Times New Roman"/>
          <w:sz w:val="22"/>
          <w:szCs w:val="22"/>
        </w:rPr>
        <w:t>Toute notification de modification ou de retrait doit être préparée et soumise conformément aux instructions énoncées à la section 10. L’enveloppe extérieure doit porter la mention</w:t>
      </w:r>
      <w:r w:rsidR="00D14CAF" w:rsidRPr="00D14CAF">
        <w:rPr>
          <w:rFonts w:ascii="Times New Roman" w:hAnsi="Times New Roman"/>
          <w:sz w:val="22"/>
          <w:szCs w:val="22"/>
        </w:rPr>
        <w:t xml:space="preserve"> « Modification »</w:t>
      </w:r>
      <w:r w:rsidRPr="00D14CAF">
        <w:rPr>
          <w:rFonts w:ascii="Times New Roman" w:hAnsi="Times New Roman"/>
          <w:sz w:val="22"/>
          <w:szCs w:val="22"/>
        </w:rPr>
        <w:t xml:space="preserve"> ou</w:t>
      </w:r>
      <w:r w:rsidR="00D14CAF" w:rsidRPr="00D14CAF">
        <w:rPr>
          <w:rFonts w:ascii="Times New Roman" w:hAnsi="Times New Roman"/>
          <w:sz w:val="22"/>
          <w:szCs w:val="22"/>
        </w:rPr>
        <w:t xml:space="preserve"> « Retrait »</w:t>
      </w:r>
      <w:r w:rsidRPr="00D14CAF">
        <w:rPr>
          <w:rFonts w:ascii="Times New Roman" w:hAnsi="Times New Roman"/>
          <w:sz w:val="22"/>
          <w:szCs w:val="22"/>
        </w:rPr>
        <w:t xml:space="preserve"> selon le cas.</w:t>
      </w:r>
    </w:p>
    <w:p w14:paraId="7E91B778" w14:textId="57DFA46D" w:rsidR="0047783A" w:rsidRPr="00E82463" w:rsidRDefault="0047783A" w:rsidP="0047783A">
      <w:pPr>
        <w:pStyle w:val="Titre2"/>
        <w:keepNext w:val="0"/>
        <w:ind w:left="567" w:hanging="567"/>
        <w:jc w:val="both"/>
        <w:rPr>
          <w:rFonts w:ascii="Times New Roman" w:hAnsi="Times New Roman"/>
        </w:rPr>
      </w:pPr>
      <w:r>
        <w:rPr>
          <w:rFonts w:ascii="Times New Roman" w:hAnsi="Times New Roman"/>
          <w:sz w:val="22"/>
        </w:rPr>
        <w:t>15.2</w:t>
      </w:r>
      <w:r>
        <w:rPr>
          <w:rFonts w:ascii="Times New Roman" w:hAnsi="Times New Roman"/>
          <w:sz w:val="22"/>
        </w:rPr>
        <w:tab/>
        <w:t>Aucune offre ne peut être retirée entre la date limite de soumission des offres et l’expiration de la période de validité des offres. Le retrait d’une offre au cours de ce laps de temps peut entraîner la perte de la garantie de soumission.</w:t>
      </w:r>
    </w:p>
    <w:p w14:paraId="3738767F" w14:textId="2FAB4988" w:rsidR="0047783A" w:rsidRPr="001A2BC4" w:rsidRDefault="00A633C6" w:rsidP="009956B4">
      <w:pPr>
        <w:pStyle w:val="Titre1"/>
      </w:pPr>
      <w:bookmarkStart w:id="23" w:name="_Toc42488085"/>
      <w:r>
        <w:t>16. Frais inhérents à la préparation des offres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Pr>
          <w:rFonts w:ascii="Times New Roman" w:hAnsi="Times New Roman"/>
          <w:sz w:val="22"/>
        </w:rPr>
        <w:t>Les frais supportés par le soumissionnaire pour la préparation et la soumission de l’offre ne sont pas remboursables. Tous ces frais sont à la charge du soumissionnaire.</w:t>
      </w:r>
    </w:p>
    <w:p w14:paraId="45FBA75B" w14:textId="1A78B6DC" w:rsidR="0047783A" w:rsidRPr="001A2BC4" w:rsidRDefault="00A633C6" w:rsidP="009956B4">
      <w:pPr>
        <w:pStyle w:val="Titre1"/>
      </w:pPr>
      <w:r>
        <w:t xml:space="preserve">17. </w:t>
      </w:r>
      <w:bookmarkStart w:id="24" w:name="_Toc42488086"/>
      <w:r>
        <w:t>Propriété des offres</w:t>
      </w:r>
      <w:bookmarkEnd w:id="24"/>
    </w:p>
    <w:p w14:paraId="625016AA" w14:textId="77777777" w:rsidR="0047783A" w:rsidRPr="00E82463" w:rsidRDefault="0047783A" w:rsidP="0047783A">
      <w:pPr>
        <w:ind w:left="567"/>
        <w:jc w:val="both"/>
        <w:rPr>
          <w:rFonts w:ascii="Times New Roman" w:hAnsi="Times New Roman"/>
          <w:sz w:val="22"/>
        </w:rPr>
      </w:pPr>
      <w:r>
        <w:rPr>
          <w:rFonts w:ascii="Times New Roman" w:hAnsi="Times New Roman"/>
          <w:sz w:val="22"/>
        </w:rPr>
        <w:t>Le pouvoir adjudicateur conserve la propriété de toutes les offres reçues dans le cadre du présent appel d’offres. En conséquence, les soumissionnaires ne peuvent exiger que leur offre leur soit renvoyée.</w:t>
      </w:r>
    </w:p>
    <w:p w14:paraId="358251F9" w14:textId="0E625D6F" w:rsidR="0047783A" w:rsidRPr="001A2BC4" w:rsidRDefault="00A633C6" w:rsidP="009956B4">
      <w:pPr>
        <w:pStyle w:val="Titre1"/>
      </w:pPr>
      <w:bookmarkStart w:id="25" w:name="_Toc42488087"/>
      <w:r>
        <w:t>18. Entreprise commune ou consortium</w:t>
      </w:r>
      <w:bookmarkEnd w:id="25"/>
    </w:p>
    <w:p w14:paraId="638F8B9B" w14:textId="77777777" w:rsidR="0047783A" w:rsidRPr="00E82463" w:rsidRDefault="0047783A" w:rsidP="0047783A">
      <w:pPr>
        <w:pStyle w:val="Titre2"/>
        <w:keepNext w:val="0"/>
        <w:ind w:left="567" w:hanging="567"/>
        <w:jc w:val="both"/>
        <w:rPr>
          <w:rFonts w:ascii="Times New Roman" w:hAnsi="Times New Roman"/>
        </w:rPr>
      </w:pPr>
      <w:r>
        <w:rPr>
          <w:rFonts w:ascii="Times New Roman" w:hAnsi="Times New Roman"/>
          <w:sz w:val="22"/>
        </w:rPr>
        <w:t>18.1</w:t>
      </w:r>
      <w:r>
        <w:rPr>
          <w:rFonts w:ascii="Times New Roman" w:hAnsi="Times New Roman"/>
          <w:sz w:val="22"/>
        </w:rPr>
        <w:tab/>
        <w:t>Lorsque le soumissionnaire est une entreprise commune ou un consortium de deux personnes ou plus, l’offre doit être une offre unique dont l’objet est de constituer un seul contrat. Chacune de ces personnes doit signer l’offre et est conjointement et solidairement responsable de l’offre et de tout contrat qui pourrait en résulter. Ces personnes doivent désigner parmi elles un chef de file habilité à engager l’entreprise commune ou le consortium. La composition de l’entreprise commune ou du consortium ne peut être modifiée sans le consentement préalable écrit du pouvoir adjudicateur.</w:t>
      </w:r>
    </w:p>
    <w:p w14:paraId="14EBA476" w14:textId="77777777" w:rsidR="0047783A" w:rsidRPr="00E82463" w:rsidRDefault="0047783A" w:rsidP="0047783A">
      <w:pPr>
        <w:pStyle w:val="Titre2"/>
        <w:keepNext w:val="0"/>
        <w:ind w:left="567" w:hanging="567"/>
        <w:jc w:val="both"/>
        <w:rPr>
          <w:rFonts w:ascii="Times New Roman" w:hAnsi="Times New Roman"/>
        </w:rPr>
      </w:pPr>
      <w:r>
        <w:rPr>
          <w:rFonts w:ascii="Times New Roman" w:hAnsi="Times New Roman"/>
          <w:sz w:val="22"/>
        </w:rPr>
        <w:t>18.2</w:t>
      </w:r>
      <w:r>
        <w:rPr>
          <w:rFonts w:ascii="Times New Roman" w:hAnsi="Times New Roman"/>
          <w:sz w:val="22"/>
        </w:rPr>
        <w:tab/>
        <w:t>L’offre ne peut être signée par le représentant de l’entreprise commune ou du consortium que si celui-ci a été expressément mandaté à cet effet, par écrit, par les membres de l’entreprise commune ou du consortium et l’acte notarié ou l’acte sous seing privé conférant ce mandat doit être soumis au pouvoir adjudicateur conformément au point 11 des présentes instructions aux soumissionnaires. Toutes les signatures apposées au bas du mandat doivent être certifiées conformes selon les lois et les règlements nationaux de chacune des parties composant l’entreprise commune ou le consortium, de même que la procuration écrite établissant que les signataires de l’offre sont habilités à prendre des engagements au nom des membres de l’entreprise commune ou du consortium. Chaque membre de l’entreprise commune ou du consortium doit fournir les preuves requises au point 3.5 comme s’il était lui-même le soumissionnaire.</w:t>
      </w:r>
    </w:p>
    <w:p w14:paraId="2F10EC9B" w14:textId="65193D85" w:rsidR="0047783A" w:rsidRPr="001A2BC4" w:rsidRDefault="00A633C6" w:rsidP="009956B4">
      <w:pPr>
        <w:pStyle w:val="Titre1"/>
      </w:pPr>
      <w:bookmarkStart w:id="26" w:name="_Toc42488088"/>
      <w:r>
        <w:t>19. Ouverture des offres</w:t>
      </w:r>
      <w:bookmarkEnd w:id="26"/>
    </w:p>
    <w:p w14:paraId="3751B074" w14:textId="3F0E74E0" w:rsidR="0047783A" w:rsidRDefault="0047783A" w:rsidP="0047783A">
      <w:pPr>
        <w:pStyle w:val="Titre2"/>
        <w:keepNext w:val="0"/>
        <w:ind w:left="567" w:hanging="567"/>
        <w:jc w:val="both"/>
        <w:rPr>
          <w:rFonts w:ascii="Times New Roman" w:hAnsi="Times New Roman"/>
          <w:sz w:val="22"/>
        </w:rPr>
      </w:pPr>
      <w:r>
        <w:rPr>
          <w:rFonts w:ascii="Times New Roman" w:hAnsi="Times New Roman"/>
          <w:sz w:val="22"/>
        </w:rPr>
        <w:t>19.1</w:t>
      </w:r>
      <w:r>
        <w:rPr>
          <w:rFonts w:ascii="Times New Roman" w:hAnsi="Times New Roman"/>
          <w:sz w:val="22"/>
        </w:rPr>
        <w:tab/>
        <w:t>La séance d’ouverture a pour objet de vérifier si les offres ont été soumises conformément aux conditions de forme de l’appel d’offres.</w:t>
      </w:r>
    </w:p>
    <w:p w14:paraId="04BF86A3" w14:textId="1724B5ED" w:rsidR="0000259F" w:rsidRPr="001A2BC4" w:rsidRDefault="0047783A" w:rsidP="0000259F">
      <w:pPr>
        <w:pStyle w:val="Titre2"/>
        <w:ind w:left="567" w:hanging="567"/>
        <w:jc w:val="both"/>
        <w:rPr>
          <w:rFonts w:ascii="Times New Roman" w:hAnsi="Times New Roman"/>
          <w:sz w:val="22"/>
        </w:rPr>
      </w:pPr>
      <w:r>
        <w:rPr>
          <w:rFonts w:ascii="Times New Roman" w:hAnsi="Times New Roman"/>
          <w:sz w:val="22"/>
        </w:rPr>
        <w:lastRenderedPageBreak/>
        <w:t>19.2</w:t>
      </w:r>
      <w:r>
        <w:rPr>
          <w:rFonts w:ascii="Times New Roman" w:hAnsi="Times New Roman"/>
          <w:sz w:val="22"/>
        </w:rPr>
        <w:tab/>
      </w:r>
      <w:r w:rsidRPr="00D14CAF">
        <w:rPr>
          <w:rFonts w:ascii="Times New Roman" w:hAnsi="Times New Roman"/>
          <w:sz w:val="22"/>
        </w:rPr>
        <w:t>La date et le lieu de la séance d’ouverture des offres sont indiqués à la section IV.2.7 de l’avis de marché.</w:t>
      </w:r>
    </w:p>
    <w:p w14:paraId="53EB2A2E" w14:textId="28CC6BE7" w:rsidR="0047783A" w:rsidRPr="00D14CAF" w:rsidRDefault="0047783A" w:rsidP="001A2BC4">
      <w:pPr>
        <w:pStyle w:val="Titre2"/>
        <w:keepNext w:val="0"/>
        <w:ind w:left="567"/>
        <w:jc w:val="both"/>
        <w:rPr>
          <w:rFonts w:ascii="Times New Roman" w:hAnsi="Times New Roman"/>
          <w:sz w:val="22"/>
        </w:rPr>
      </w:pPr>
      <w:r w:rsidRPr="00D14CAF">
        <w:rPr>
          <w:rFonts w:ascii="Times New Roman" w:hAnsi="Times New Roman"/>
          <w:sz w:val="22"/>
        </w:rPr>
        <w:t>Le comité établira un procès-verbal de la réunion, qui sera disponible sur demande.</w:t>
      </w:r>
    </w:p>
    <w:p w14:paraId="7FBE10F5" w14:textId="24268D8A" w:rsidR="00A5438F" w:rsidRPr="00D14CAF" w:rsidRDefault="00A5438F" w:rsidP="00FC6A15">
      <w:pPr>
        <w:ind w:left="567"/>
        <w:jc w:val="both"/>
        <w:rPr>
          <w:rFonts w:ascii="Times New Roman" w:hAnsi="Times New Roman"/>
          <w:sz w:val="22"/>
        </w:rPr>
      </w:pPr>
      <w:r w:rsidRPr="00D14CAF">
        <w:rPr>
          <w:rFonts w:ascii="Times New Roman" w:hAnsi="Times New Roman"/>
          <w:sz w:val="22"/>
          <w:szCs w:val="22"/>
        </w:rPr>
        <w:t>Si, à la date de la séance d’ouverture, certaines offres n’ont pas été remises au pouvoir adjudicateur, mais que leurs représentants peuvent prouver qu’elles ont été envoyées à temps, le pouvoir adjudicateur les autorisera à participer à la première séance d’ouverture et informera tous les représentants des soumissionnaires de la tenue d’une deuxième séance d’ouverture</w:t>
      </w:r>
      <w:r w:rsidRPr="00D14CAF">
        <w:rPr>
          <w:rFonts w:ascii="Times New Roman" w:hAnsi="Times New Roman"/>
          <w:sz w:val="22"/>
        </w:rPr>
        <w:t xml:space="preserve">. </w:t>
      </w:r>
    </w:p>
    <w:p w14:paraId="399D7693" w14:textId="77777777" w:rsidR="0047783A" w:rsidRPr="00D14CAF" w:rsidRDefault="0047783A" w:rsidP="001A2BC4">
      <w:pPr>
        <w:ind w:left="567" w:hanging="567"/>
        <w:jc w:val="both"/>
        <w:rPr>
          <w:rFonts w:ascii="Times New Roman" w:hAnsi="Times New Roman"/>
          <w:sz w:val="22"/>
        </w:rPr>
      </w:pPr>
      <w:r w:rsidRPr="00D14CAF">
        <w:rPr>
          <w:rFonts w:ascii="Times New Roman" w:hAnsi="Times New Roman"/>
          <w:sz w:val="22"/>
        </w:rPr>
        <w:t>19.3</w:t>
      </w:r>
      <w:r w:rsidRPr="00D14CAF">
        <w:rPr>
          <w:rFonts w:ascii="Times New Roman" w:hAnsi="Times New Roman"/>
          <w:sz w:val="22"/>
        </w:rPr>
        <w:tab/>
        <w:t>Lors de la séance d’ouverture des offres, les noms des soumissionnaires, le montant des offres, les remises éventuelles, les notifications écrites de modification et de retrait, la présence de la garantie de soumission requise (si exigée) et toute autre information que le pouvoir adjudicateur estime appropriée peuvent être annoncés.</w:t>
      </w:r>
    </w:p>
    <w:p w14:paraId="68DAAAB5" w14:textId="0646B542" w:rsidR="0047783A" w:rsidRPr="00E82463" w:rsidRDefault="0047783A" w:rsidP="0047783A">
      <w:pPr>
        <w:pStyle w:val="Titre2"/>
        <w:keepNext w:val="0"/>
        <w:ind w:left="567" w:hanging="567"/>
        <w:jc w:val="both"/>
        <w:rPr>
          <w:rFonts w:ascii="Times New Roman" w:hAnsi="Times New Roman"/>
          <w:sz w:val="22"/>
        </w:rPr>
      </w:pPr>
      <w:r w:rsidRPr="00D14CAF">
        <w:rPr>
          <w:rFonts w:ascii="Times New Roman" w:hAnsi="Times New Roman"/>
          <w:sz w:val="22"/>
        </w:rPr>
        <w:t>19.4</w:t>
      </w:r>
      <w:r w:rsidRPr="00D14CAF">
        <w:rPr>
          <w:rFonts w:ascii="Times New Roman" w:hAnsi="Times New Roman"/>
          <w:sz w:val="22"/>
        </w:rPr>
        <w:tab/>
        <w:t>Après l’ouverture publique des offres, aucune information relative à l’examen, à la clarification, à l’évaluation des offres ni aucune recommandation concernant l’attribution du marché ne pourra être divulguée jusqu’à ce que le marché ait été attribué.</w:t>
      </w:r>
    </w:p>
    <w:p w14:paraId="27D3E2A2" w14:textId="77777777" w:rsidR="0047783A" w:rsidRPr="00E82463" w:rsidRDefault="0047783A" w:rsidP="0047783A">
      <w:pPr>
        <w:pStyle w:val="Titre2"/>
        <w:keepNext w:val="0"/>
        <w:ind w:left="567" w:hanging="567"/>
        <w:jc w:val="both"/>
        <w:rPr>
          <w:rFonts w:ascii="Times New Roman" w:hAnsi="Times New Roman"/>
          <w:sz w:val="22"/>
        </w:rPr>
      </w:pPr>
      <w:r>
        <w:rPr>
          <w:rFonts w:ascii="Times New Roman" w:hAnsi="Times New Roman"/>
          <w:sz w:val="22"/>
        </w:rPr>
        <w:t>19.5</w:t>
      </w:r>
      <w:r>
        <w:rPr>
          <w:rFonts w:ascii="Times New Roman" w:hAnsi="Times New Roman"/>
          <w:sz w:val="22"/>
        </w:rPr>
        <w:tab/>
        <w:t>Toute tentative d’un soumissionnaire visant à influencer le comité d’évaluation durant la procédure d’examen, de clarification, d’évaluation et de comparaison des offres, dans le but d’obtenir des informations sur le déroulement de la procédure ou d’influencer la décision du pouvoir adjudicateur quant à l’attribution du marché entraînera le rejet immédiat de son offre.</w:t>
      </w:r>
    </w:p>
    <w:p w14:paraId="06AA2484" w14:textId="77777777" w:rsidR="0047783A" w:rsidRPr="00E82463" w:rsidRDefault="0047783A" w:rsidP="0047783A">
      <w:pPr>
        <w:pStyle w:val="Titre2"/>
        <w:keepNext w:val="0"/>
        <w:ind w:left="567" w:hanging="567"/>
        <w:jc w:val="both"/>
        <w:rPr>
          <w:rFonts w:ascii="Times New Roman" w:hAnsi="Times New Roman"/>
        </w:rPr>
      </w:pPr>
      <w:r>
        <w:rPr>
          <w:rFonts w:ascii="Times New Roman" w:hAnsi="Times New Roman"/>
          <w:sz w:val="22"/>
        </w:rPr>
        <w:t>19.6</w:t>
      </w:r>
      <w:r>
        <w:rPr>
          <w:rFonts w:ascii="Times New Roman" w:hAnsi="Times New Roman"/>
          <w:sz w:val="22"/>
        </w:rPr>
        <w:tab/>
        <w:t>Le pouvoir adjudicateur conservera toutes les offres reçues après la date limite de soumission des offres indiquée dans l’avis de marché ou dans les présentes instructions. Les garanties correspondantes seront renvoyées aux soumissionnaires. Le pouvoir adjudicateur ne peut être tenu pour responsable en cas de retard dans la livraison des offres. Les offres reçues hors délai seront rejetées et ne seront pas évaluées.</w:t>
      </w:r>
    </w:p>
    <w:p w14:paraId="48479041" w14:textId="6F92F0B0" w:rsidR="0047783A" w:rsidRPr="001A2BC4" w:rsidRDefault="00A633C6" w:rsidP="009956B4">
      <w:pPr>
        <w:pStyle w:val="Titre1"/>
      </w:pPr>
      <w:bookmarkStart w:id="27" w:name="_Toc42488089"/>
      <w:r>
        <w:t>20. Évaluation des offres</w:t>
      </w:r>
      <w:bookmarkEnd w:id="27"/>
    </w:p>
    <w:p w14:paraId="7C75DF35"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20.1</w:t>
      </w:r>
      <w:r>
        <w:rPr>
          <w:rFonts w:ascii="Times New Roman" w:hAnsi="Times New Roman"/>
          <w:sz w:val="22"/>
        </w:rPr>
        <w:tab/>
        <w:t>Examen de la conformité administrative des offres</w:t>
      </w:r>
    </w:p>
    <w:p w14:paraId="5100ED0A" w14:textId="77777777" w:rsidR="0047783A" w:rsidRPr="00E82463" w:rsidRDefault="0047783A" w:rsidP="0047783A">
      <w:pPr>
        <w:ind w:left="567"/>
        <w:jc w:val="both"/>
        <w:outlineLvl w:val="0"/>
        <w:rPr>
          <w:rFonts w:ascii="Times New Roman" w:hAnsi="Times New Roman"/>
        </w:rPr>
      </w:pPr>
      <w:r>
        <w:rPr>
          <w:rFonts w:ascii="Times New Roman" w:hAnsi="Times New Roman"/>
          <w:sz w:val="22"/>
        </w:rPr>
        <w:t>Cette phase a pour objet de vérifier si les offres sont conformes aux exigences essentielles du dossier d’appel d’offres. Une offre est conforme lorsqu’elle respecte toutes les conditions, modalités et spécifications contenues dans le dossier d’appel d’offres, sans s’en écarter sensiblement ni y apporter des restrictions substantielles.</w:t>
      </w:r>
    </w:p>
    <w:p w14:paraId="2B926AFB" w14:textId="77777777" w:rsidR="0047783A" w:rsidRPr="00E82463" w:rsidRDefault="0047783A" w:rsidP="0047783A">
      <w:pPr>
        <w:ind w:left="567"/>
        <w:jc w:val="both"/>
        <w:outlineLvl w:val="0"/>
        <w:rPr>
          <w:rFonts w:ascii="Times New Roman" w:hAnsi="Times New Roman"/>
        </w:rPr>
      </w:pPr>
      <w:r>
        <w:rPr>
          <w:rFonts w:ascii="Times New Roman" w:hAnsi="Times New Roman"/>
          <w:sz w:val="22"/>
        </w:rPr>
        <w:t>Les restrictions ou écarts substantiels sont ceux qui affectent l’objet, la qualité ou l’exécution du marché, qui diffèrent largement des termes du dossier d’appel d’offres, qui limitent les droits du pouvoir adjudicateur ou les obligations du soumissionnaire au titre du marché ou qui faussent la concurrence à l’égard des soumissionnaires ayant présenté des offres conformes. Toute décision ayant pour effet de déclarer qu’une offre n’est pas conforme sur le plan administratif doit être dûment justifiée dans le procès-verbal d’évaluation.</w:t>
      </w:r>
    </w:p>
    <w:p w14:paraId="2B1EEA90" w14:textId="1C4B2598" w:rsidR="0047783A" w:rsidRDefault="0047783A" w:rsidP="0047783A">
      <w:pPr>
        <w:ind w:left="567"/>
        <w:jc w:val="both"/>
        <w:outlineLvl w:val="0"/>
        <w:rPr>
          <w:rFonts w:ascii="Times New Roman" w:hAnsi="Times New Roman"/>
          <w:sz w:val="22"/>
        </w:rPr>
      </w:pPr>
      <w:r>
        <w:rPr>
          <w:rFonts w:ascii="Times New Roman" w:hAnsi="Times New Roman"/>
          <w:sz w:val="22"/>
        </w:rPr>
        <w:t>Si une offre n’est pas conforme au dossier d’appel d’offres, elle est immédiatement rejetée et ne peut, par la suite, être rendue conforme par des corrections ou par la suppression des écarts ou des restrictions.</w:t>
      </w:r>
    </w:p>
    <w:p w14:paraId="5C1965CF"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20.2</w:t>
      </w:r>
      <w:r>
        <w:rPr>
          <w:rFonts w:ascii="Times New Roman" w:hAnsi="Times New Roman"/>
          <w:sz w:val="22"/>
        </w:rPr>
        <w:tab/>
        <w:t>Évaluation technique</w:t>
      </w:r>
    </w:p>
    <w:p w14:paraId="5563ABB0" w14:textId="4C51948A" w:rsidR="0047783A" w:rsidRPr="00E82463" w:rsidRDefault="0047783A" w:rsidP="00E82463">
      <w:pPr>
        <w:spacing w:before="0"/>
        <w:ind w:left="567"/>
        <w:jc w:val="both"/>
        <w:outlineLvl w:val="0"/>
        <w:rPr>
          <w:rFonts w:ascii="Times New Roman" w:hAnsi="Times New Roman"/>
          <w:sz w:val="22"/>
        </w:rPr>
      </w:pPr>
      <w:bookmarkStart w:id="28" w:name="_Ref500330647"/>
      <w:r>
        <w:rPr>
          <w:rFonts w:ascii="Times New Roman" w:hAnsi="Times New Roman"/>
          <w:sz w:val="22"/>
        </w:rPr>
        <w:t>À l’issue de l’analyse des offres jugées conformes sur le plan administratif, le comité d’évaluation statuera sur la conformité technique de chaque offre et classera les offres en deux catégories</w:t>
      </w:r>
      <w:r w:rsidR="004D111F">
        <w:rPr>
          <w:rFonts w:ascii="Times New Roman" w:hAnsi="Times New Roman"/>
          <w:sz w:val="22"/>
        </w:rPr>
        <w:t xml:space="preserve"> </w:t>
      </w:r>
      <w:r>
        <w:rPr>
          <w:rFonts w:ascii="Times New Roman" w:hAnsi="Times New Roman"/>
          <w:sz w:val="22"/>
        </w:rPr>
        <w:t>: les offres conformes aux exigences techniques et les offres non conformes aux exigences techniques.</w:t>
      </w:r>
    </w:p>
    <w:p w14:paraId="6BBE5195" w14:textId="77777777" w:rsidR="0047783A" w:rsidRPr="00E82463" w:rsidRDefault="0047783A" w:rsidP="00E82463">
      <w:pPr>
        <w:pStyle w:val="Titre2"/>
        <w:keepNext w:val="0"/>
        <w:spacing w:before="0"/>
        <w:ind w:left="567"/>
        <w:jc w:val="both"/>
        <w:rPr>
          <w:rFonts w:ascii="Times New Roman" w:hAnsi="Times New Roman"/>
          <w:sz w:val="22"/>
          <w:szCs w:val="22"/>
        </w:rPr>
      </w:pPr>
      <w:r>
        <w:rPr>
          <w:rFonts w:ascii="Times New Roman" w:hAnsi="Times New Roman"/>
          <w:sz w:val="22"/>
          <w:szCs w:val="22"/>
        </w:rPr>
        <w:lastRenderedPageBreak/>
        <w:t>Les qualifications minimales requises (voir les critères de sélection dans les informations complémentaires concernant l’avis de marché) doivent être évaluées dès le début de cette étape.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Pr>
          <w:rFonts w:ascii="Times New Roman" w:hAnsi="Times New Roman"/>
          <w:sz w:val="22"/>
        </w:rPr>
        <w:t>Dans le cas de marchés comportant des services après-vente et/ou de formation, la qualité technique de ces services doit également être évaluée en utilisant des critères «oui/non» tels que spécifiés dans le dossier d’appel d’offres.</w:t>
      </w:r>
    </w:p>
    <w:p w14:paraId="3AE476C4" w14:textId="77777777" w:rsidR="0047783A" w:rsidRPr="00E82463" w:rsidRDefault="0047783A" w:rsidP="0047783A">
      <w:pPr>
        <w:pStyle w:val="Titre2"/>
        <w:ind w:left="567" w:hanging="567"/>
        <w:jc w:val="both"/>
        <w:rPr>
          <w:rFonts w:ascii="Times New Roman" w:hAnsi="Times New Roman"/>
        </w:rPr>
      </w:pPr>
      <w:r>
        <w:rPr>
          <w:rFonts w:ascii="Times New Roman" w:hAnsi="Times New Roman"/>
          <w:sz w:val="22"/>
        </w:rPr>
        <w:t>20.3</w:t>
      </w:r>
      <w:r>
        <w:rPr>
          <w:rFonts w:ascii="Times New Roman" w:hAnsi="Times New Roman"/>
          <w:sz w:val="22"/>
        </w:rPr>
        <w:tab/>
        <w:t>Dans un souci de transparence et d’égalité de traitement, et afin de faciliter l’examen et l’évaluation des offres, le comité d’évaluation peut demander à chaque soumissionnaire des éclaircissements sur son offre, y compris sur la ventilation des prix, dans un délai raisonnable qui sera fixé par le comité d’évaluation. La demande d’éclaircissements et la réponse doivent être formulées par écrit, mais aucune modification du prix ou du contenu de l’offre ne pourra être demandée, proposée ou autorisée, sauf si elle est nécessaire pour confirmer la correction d’erreurs arithmétiques découvertes pendant l’évaluation des offres conformément au point 20.4. Aucune demande d’éclaircissements ne peut fausser la concurrence. Toute décision ayant pour effet de déclarer qu’une offre n’est pas conforme aux exigences techniques doit être dûment justifiée dans le procès-verbal d’évaluation.</w:t>
      </w:r>
    </w:p>
    <w:p w14:paraId="69AD1BD6"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20.4</w:t>
      </w:r>
      <w:r>
        <w:rPr>
          <w:rFonts w:ascii="Times New Roman" w:hAnsi="Times New Roman"/>
          <w:sz w:val="22"/>
        </w:rPr>
        <w:tab/>
        <w:t>Évaluation financière</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Pr>
          <w:rFonts w:ascii="Times New Roman" w:hAnsi="Times New Roman"/>
          <w:sz w:val="22"/>
        </w:rPr>
        <w:t>a)</w:t>
      </w:r>
      <w:r>
        <w:rPr>
          <w:rFonts w:ascii="Times New Roman" w:hAnsi="Times New Roman"/>
          <w:sz w:val="22"/>
        </w:rPr>
        <w:tab/>
        <w:t>Les offres jugées conformes aux exigences techniques seront vérifiées en vue d’y déceler d’éventuelles erreurs arithmétiques dans les calculs et les totaux. Les erreurs seront corrigées par le comité d’évaluation de la manière suivante:</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Pr>
          <w:rFonts w:ascii="Times New Roman" w:hAnsi="Times New Roman"/>
          <w:sz w:val="22"/>
        </w:rPr>
        <w:t>–</w:t>
      </w:r>
      <w:r>
        <w:rPr>
          <w:rFonts w:ascii="Times New Roman" w:hAnsi="Times New Roman"/>
          <w:sz w:val="22"/>
        </w:rPr>
        <w:tab/>
        <w:t>en cas de divergence entre le montant en chiffres et le montant en lettres, le montant en lettres sera retenu;</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Pr>
          <w:rFonts w:ascii="Times New Roman" w:hAnsi="Times New Roman"/>
          <w:sz w:val="22"/>
        </w:rPr>
        <w:t>–</w:t>
      </w:r>
      <w:r>
        <w:rPr>
          <w:rFonts w:ascii="Times New Roman" w:hAnsi="Times New Roman"/>
          <w:sz w:val="22"/>
        </w:rPr>
        <w:tab/>
        <w:t>sauf pour les marchés à forfait, en cas de divergence entre un prix unitaire et le montant total obtenu en multipliant ce prix unitaire par la quantité, le prix unitaire indiqué sera retenu.</w:t>
      </w:r>
    </w:p>
    <w:p w14:paraId="21FF634C" w14:textId="77777777" w:rsidR="0047783A" w:rsidRDefault="0047783A" w:rsidP="00E82463">
      <w:pPr>
        <w:tabs>
          <w:tab w:val="left" w:pos="851"/>
        </w:tabs>
        <w:spacing w:after="0"/>
        <w:ind w:left="851" w:hanging="284"/>
        <w:jc w:val="both"/>
        <w:rPr>
          <w:rFonts w:ascii="Times New Roman" w:hAnsi="Times New Roman"/>
          <w:sz w:val="22"/>
        </w:rPr>
      </w:pPr>
      <w:r>
        <w:rPr>
          <w:rFonts w:ascii="Times New Roman" w:hAnsi="Times New Roman"/>
          <w:sz w:val="22"/>
        </w:rPr>
        <w:t>b)</w:t>
      </w:r>
      <w:r>
        <w:rPr>
          <w:rFonts w:ascii="Times New Roman" w:hAnsi="Times New Roman"/>
          <w:sz w:val="22"/>
        </w:rPr>
        <w:tab/>
        <w:t>Les montants ainsi corrigés seront contraignants pour le soumissionnaire. Si ce dernier ne les accepte pas, son offre sera rejetée.</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Sauf indication contraire, l’évaluation financière a pour objet d’identifier le soumissionnaire offrant le prix le plus bas. Si les spécifications techniques le prévoient, l’évaluation des offres peut tenir compte, non seulement des coûts d’acquisition, mais aussi, dans la mesure où ils sont pertinents, des coûts supportés pendant tout le cycle de vie des fournitures (par exemple, les frais de maintenance et les frais de fonctionnement), conformément aux spécifications techniques. En pareil cas, le pouvoir adjudicateur examinera en détail toutes les informations fournies par les soumissionnaires et formera son jugement en se basant sur le coût total le plus bas incluant les coûts additionnels.</w:t>
      </w:r>
    </w:p>
    <w:p w14:paraId="225D2214"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20.5</w:t>
      </w:r>
      <w:r>
        <w:rPr>
          <w:rFonts w:ascii="Times New Roman" w:hAnsi="Times New Roman"/>
          <w:sz w:val="22"/>
        </w:rPr>
        <w:tab/>
        <w:t>Variantes</w:t>
      </w:r>
    </w:p>
    <w:p w14:paraId="69F11B46" w14:textId="77777777" w:rsidR="0047783A" w:rsidRPr="00E82463" w:rsidRDefault="0047783A" w:rsidP="00FC6A15">
      <w:pPr>
        <w:ind w:left="567"/>
        <w:jc w:val="both"/>
      </w:pPr>
      <w:r>
        <w:rPr>
          <w:rFonts w:ascii="Times New Roman" w:hAnsi="Times New Roman"/>
          <w:sz w:val="22"/>
        </w:rPr>
        <w:t>Les variantes ne seront pas prises en considération.</w:t>
      </w:r>
    </w:p>
    <w:p w14:paraId="61B04D9B" w14:textId="77777777" w:rsidR="0047783A" w:rsidRPr="00E82463" w:rsidRDefault="0047783A" w:rsidP="0047783A">
      <w:pPr>
        <w:pStyle w:val="Titre2"/>
        <w:ind w:left="567" w:hanging="567"/>
        <w:jc w:val="both"/>
        <w:rPr>
          <w:rFonts w:ascii="Times New Roman" w:hAnsi="Times New Roman"/>
          <w:sz w:val="22"/>
        </w:rPr>
      </w:pPr>
      <w:r>
        <w:rPr>
          <w:rFonts w:ascii="Times New Roman" w:hAnsi="Times New Roman"/>
          <w:sz w:val="22"/>
        </w:rPr>
        <w:t>20.6</w:t>
      </w:r>
      <w:r>
        <w:rPr>
          <w:rFonts w:ascii="Times New Roman" w:hAnsi="Times New Roman"/>
          <w:sz w:val="22"/>
        </w:rPr>
        <w:tab/>
        <w:t>Critère d’attribution</w:t>
      </w:r>
    </w:p>
    <w:p w14:paraId="439E12D8" w14:textId="17AD277B" w:rsidR="0047783A" w:rsidRPr="00E82463" w:rsidRDefault="0047783A" w:rsidP="0047783A">
      <w:pPr>
        <w:ind w:left="567" w:firstLine="11"/>
        <w:jc w:val="both"/>
        <w:outlineLvl w:val="0"/>
        <w:rPr>
          <w:rFonts w:ascii="Times New Roman" w:hAnsi="Times New Roman"/>
        </w:rPr>
      </w:pPr>
      <w:r w:rsidRPr="003937BC">
        <w:rPr>
          <w:rFonts w:ascii="Times New Roman" w:hAnsi="Times New Roman"/>
          <w:sz w:val="22"/>
        </w:rPr>
        <w:t>Le seul critère d’attribution sera le prix. Le marché sera attribué à l’offre conforme la moins-disante.</w:t>
      </w:r>
    </w:p>
    <w:p w14:paraId="12EABB3E" w14:textId="6C9A4F6B" w:rsidR="0048742A" w:rsidRDefault="0047783A" w:rsidP="0048742A">
      <w:pPr>
        <w:ind w:left="567"/>
        <w:jc w:val="both"/>
        <w:rPr>
          <w:rFonts w:ascii="Times New Roman" w:hAnsi="Times New Roman"/>
          <w:sz w:val="22"/>
          <w:szCs w:val="22"/>
        </w:rPr>
      </w:pPr>
      <w:r w:rsidRPr="003937BC">
        <w:rPr>
          <w:rFonts w:ascii="Times New Roman" w:hAnsi="Times New Roman"/>
          <w:sz w:val="22"/>
          <w:szCs w:val="22"/>
        </w:rPr>
        <w:t>Lorsque les offres sont de qualité économique et technique équivalente, la préférence sera accordée à celles qui permettent la participation la plus large des États ACP. Pour de plus amples détails, voir la section 2.6.9. du PRAG.</w:t>
      </w:r>
    </w:p>
    <w:p w14:paraId="1E6B308A" w14:textId="522481F7" w:rsidR="0048742A" w:rsidRPr="00A56251" w:rsidRDefault="0048742A" w:rsidP="009956B4">
      <w:pPr>
        <w:numPr>
          <w:ilvl w:val="1"/>
          <w:numId w:val="30"/>
        </w:numPr>
        <w:jc w:val="both"/>
        <w:rPr>
          <w:rFonts w:ascii="Times New Roman" w:hAnsi="Times New Roman"/>
          <w:sz w:val="22"/>
          <w:szCs w:val="22"/>
        </w:rPr>
      </w:pPr>
      <w:r>
        <w:rPr>
          <w:rFonts w:ascii="Times New Roman" w:hAnsi="Times New Roman"/>
          <w:sz w:val="22"/>
          <w:szCs w:val="22"/>
        </w:rPr>
        <w:t>Pièces justificatives relatives aux critères d’exclusion et de sélection</w:t>
      </w:r>
    </w:p>
    <w:p w14:paraId="2BCEDC6D" w14:textId="01ECCAFD" w:rsidR="001719EB" w:rsidRPr="003937BC" w:rsidRDefault="0048742A" w:rsidP="009956B4">
      <w:pPr>
        <w:jc w:val="both"/>
        <w:rPr>
          <w:rFonts w:ascii="Times New Roman" w:hAnsi="Times New Roman"/>
          <w:color w:val="000000"/>
          <w:sz w:val="22"/>
          <w:szCs w:val="22"/>
        </w:rPr>
      </w:pPr>
      <w:r w:rsidRPr="003937BC">
        <w:rPr>
          <w:rFonts w:ascii="Times New Roman" w:hAnsi="Times New Roman"/>
          <w:sz w:val="22"/>
          <w:szCs w:val="22"/>
        </w:rPr>
        <w:t xml:space="preserve">À tout moment au cours de la procédure de passation de marché et avant l’attribution du marché, le pouvoir adjudicateur peut demander les pièces justificatives attestant la conformité avec les critères d’exclusion et de sélection (situation financière et économique et capacité technique et </w:t>
      </w:r>
      <w:r w:rsidRPr="003937BC">
        <w:rPr>
          <w:rFonts w:ascii="Times New Roman" w:hAnsi="Times New Roman"/>
          <w:sz w:val="22"/>
          <w:szCs w:val="22"/>
        </w:rPr>
        <w:lastRenderedPageBreak/>
        <w:t xml:space="preserve">professionnelle) définis dans les présentes instructions. Veuillez noter qu’une demande de justificatifs ne signifie aucunement que le soumissionnaire a été retenu. </w:t>
      </w:r>
      <w:r w:rsidRPr="003937BC">
        <w:rPr>
          <w:rFonts w:ascii="Times New Roman" w:hAnsi="Times New Roman"/>
          <w:b/>
          <w:sz w:val="22"/>
          <w:szCs w:val="22"/>
        </w:rPr>
        <w:t>Tous les soumissionnaires sont invités à préparer à l’avance les documents relatifs aux justificatifs, étant donné qu’ils peuvent être invités à les fournir dans un bref délai</w:t>
      </w:r>
      <w:r w:rsidRPr="003937BC">
        <w:rPr>
          <w:rFonts w:ascii="Times New Roman" w:hAnsi="Times New Roman"/>
          <w:sz w:val="22"/>
          <w:szCs w:val="22"/>
        </w:rPr>
        <w:t xml:space="preserve">. En tout état de cause, le soumissionnaire proposé par le comité d’évaluation pour l’attribution du marché sera invité à fournir ces preuves v dans un bref délai. </w:t>
      </w:r>
    </w:p>
    <w:p w14:paraId="0AAE80D4" w14:textId="77777777" w:rsidR="0048742A" w:rsidRPr="003937BC" w:rsidRDefault="0048742A" w:rsidP="009956B4">
      <w:pPr>
        <w:jc w:val="both"/>
        <w:rPr>
          <w:rFonts w:ascii="Times New Roman" w:hAnsi="Times New Roman"/>
          <w:sz w:val="22"/>
          <w:szCs w:val="22"/>
        </w:rPr>
      </w:pPr>
      <w:r w:rsidRPr="003937BC">
        <w:rPr>
          <w:rFonts w:ascii="Times New Roman" w:hAnsi="Times New Roman"/>
          <w:sz w:val="22"/>
          <w:szCs w:val="22"/>
        </w:rPr>
        <w:t xml:space="preserve">Le cas échéant, pour ce qui est des critères d’exclusion, les soumissionnaires devraient être en mesure de fournir les pièces justificatives ou les déclarations requises par la législation nationale du pays dans lequel la société (ou chacune des sociétés en cas de consortium) est établie, et ce, afin de démontrer qu’ils ne se trouvent pas dans l’une des situations d’exclusion visées dans la section 2.6.10.1. du PRAG. </w:t>
      </w:r>
    </w:p>
    <w:p w14:paraId="4AA2AD90" w14:textId="683FC5FD" w:rsidR="0048742A" w:rsidRPr="003937BC" w:rsidRDefault="0048742A" w:rsidP="009956B4">
      <w:pPr>
        <w:jc w:val="both"/>
        <w:outlineLvl w:val="0"/>
        <w:rPr>
          <w:rFonts w:ascii="Times New Roman" w:hAnsi="Times New Roman"/>
          <w:sz w:val="22"/>
          <w:szCs w:val="22"/>
        </w:rPr>
      </w:pPr>
      <w:r w:rsidRPr="003937BC">
        <w:rPr>
          <w:rFonts w:ascii="Times New Roman" w:hAnsi="Times New Roman"/>
          <w:sz w:val="22"/>
          <w:szCs w:val="22"/>
        </w:rPr>
        <w:t xml:space="preserve">La date de ces preuves, documents ou déclarations ne doit pas être antérieure de plus d’un an à la date de soumission de l’offre. </w:t>
      </w:r>
    </w:p>
    <w:p w14:paraId="09D214DF" w14:textId="726587F5" w:rsidR="00124409" w:rsidRPr="003937BC" w:rsidRDefault="00124409" w:rsidP="00124409">
      <w:pPr>
        <w:jc w:val="both"/>
        <w:rPr>
          <w:rFonts w:ascii="Times New Roman" w:hAnsi="Times New Roman"/>
          <w:sz w:val="22"/>
          <w:szCs w:val="22"/>
        </w:rPr>
      </w:pPr>
      <w:r w:rsidRPr="003937BC">
        <w:rPr>
          <w:rFonts w:ascii="Times New Roman" w:hAnsi="Times New Roman"/>
          <w:sz w:val="22"/>
          <w:szCs w:val="22"/>
        </w:rPr>
        <w:t xml:space="preserve">Les documents susmentionnés doivent être soumis pour chaque membre d’une entreprise commune/d’un consortium, tous les sous-traitants et chaque entité pourvoyeuse de capacités. </w:t>
      </w:r>
    </w:p>
    <w:p w14:paraId="5DE9377D" w14:textId="19BB92C7" w:rsidR="0048742A" w:rsidRPr="003937BC" w:rsidRDefault="0048742A" w:rsidP="009956B4">
      <w:pPr>
        <w:jc w:val="both"/>
        <w:outlineLvl w:val="0"/>
        <w:rPr>
          <w:rFonts w:ascii="Times New Roman" w:hAnsi="Times New Roman"/>
          <w:sz w:val="22"/>
          <w:szCs w:val="22"/>
        </w:rPr>
      </w:pPr>
      <w:r w:rsidRPr="003937BC">
        <w:rPr>
          <w:rFonts w:ascii="Times New Roman" w:hAnsi="Times New Roman"/>
          <w:sz w:val="22"/>
          <w:szCs w:val="22"/>
        </w:rPr>
        <w:t>Le pouvoir adjudicateur peut dispenser un soumissionnaire de l’obligation de fournir les pièces justificatives visées ci-dessus si ces pièces ont déjà été soumises dans le cadre d’une autre procédure de passation de marché, pour autant que la date à laquelle ces documents ont été délivrés ne remonte pas à plus d’un an et qu’ils soient toujours valables. Dans ce cas, le soumissionnaire doit déclarer sur l’honneur que les pièces justificatives ont déjà été fournies lors d’une précédente procédure de passation de marché et confirmer que sa situation n’a pas changé.</w:t>
      </w:r>
    </w:p>
    <w:p w14:paraId="5702AFDE" w14:textId="77777777" w:rsidR="0048742A" w:rsidRPr="003937BC" w:rsidRDefault="0048742A" w:rsidP="009956B4">
      <w:pPr>
        <w:jc w:val="both"/>
        <w:outlineLvl w:val="0"/>
        <w:rPr>
          <w:rFonts w:ascii="Times New Roman" w:hAnsi="Times New Roman"/>
          <w:sz w:val="22"/>
          <w:szCs w:val="22"/>
        </w:rPr>
      </w:pPr>
      <w:r w:rsidRPr="003937BC">
        <w:rPr>
          <w:rFonts w:ascii="Times New Roman" w:hAnsi="Times New Roman"/>
          <w:sz w:val="22"/>
          <w:szCs w:val="22"/>
        </w:rPr>
        <w:t xml:space="preserve">Lorsque les pièces justificatives fournies sont établies dans une des langues officielles de l’Union européenne autre que celle de la procédure, il est vivement recommandé de fournir une traduction dans la langue de la procédure afin de faciliter l’évaluation des documents. </w:t>
      </w:r>
    </w:p>
    <w:p w14:paraId="1D21C259" w14:textId="77777777" w:rsidR="0048742A" w:rsidRPr="003937BC" w:rsidRDefault="0048742A" w:rsidP="009956B4">
      <w:pPr>
        <w:jc w:val="both"/>
        <w:outlineLvl w:val="0"/>
        <w:rPr>
          <w:rFonts w:ascii="Times New Roman" w:hAnsi="Times New Roman"/>
          <w:sz w:val="22"/>
          <w:szCs w:val="22"/>
        </w:rPr>
      </w:pPr>
      <w:r w:rsidRPr="003937BC">
        <w:rPr>
          <w:rFonts w:ascii="Times New Roman" w:hAnsi="Times New Roman"/>
          <w:sz w:val="22"/>
          <w:szCs w:val="22"/>
        </w:rPr>
        <w:t xml:space="preserve"> La non-présentation de pièces justificatives valables à la demande du pouvoir adjudicateur dans le délai établi par celui-ci peut conduire au rejet de l’offre pour l’attribution du marché, à moins que le soumissionnaire puisse justifier ce manquement par des motifs d’impossibilité matérielle.</w:t>
      </w:r>
    </w:p>
    <w:p w14:paraId="70BCCAC5" w14:textId="427BAC4C" w:rsidR="0048742A" w:rsidRDefault="0048742A" w:rsidP="009956B4">
      <w:pPr>
        <w:jc w:val="both"/>
        <w:rPr>
          <w:rFonts w:ascii="Times New Roman" w:hAnsi="Times New Roman"/>
          <w:sz w:val="22"/>
          <w:szCs w:val="22"/>
        </w:rPr>
      </w:pPr>
      <w:r w:rsidRPr="003937BC">
        <w:rPr>
          <w:rFonts w:ascii="Times New Roman" w:hAnsi="Times New Roman"/>
          <w:sz w:val="22"/>
          <w:szCs w:val="22"/>
        </w:rPr>
        <w:t>Si l’attributaire ne fournit pas les pièces justificatives ou la déclaration ou s’il s’avère qu’il a soumis des fausses informations, l’attribution sera considérée nulle et non avenue. Dans ce cas, le pouvoir adjudicateur peut attribuer le marché au deuxième soumissionnaire le moins-disant ou annuler l’appel d’offres.</w:t>
      </w:r>
    </w:p>
    <w:p w14:paraId="3B82FCC1" w14:textId="77777777" w:rsidR="00EA1ADC" w:rsidRDefault="00EA1ADC" w:rsidP="00C348C0">
      <w:pPr>
        <w:jc w:val="both"/>
        <w:rPr>
          <w:rFonts w:ascii="Times New Roman" w:hAnsi="Times New Roman"/>
          <w:b/>
          <w:sz w:val="28"/>
          <w:szCs w:val="28"/>
        </w:rPr>
      </w:pPr>
      <w:r>
        <w:rPr>
          <w:rFonts w:ascii="Times New Roman" w:hAnsi="Times New Roman"/>
          <w:b/>
          <w:sz w:val="28"/>
          <w:szCs w:val="28"/>
        </w:rPr>
        <w:t>21.</w:t>
      </w:r>
      <w:r>
        <w:rPr>
          <w:rFonts w:ascii="Times New Roman" w:hAnsi="Times New Roman"/>
          <w:b/>
          <w:sz w:val="28"/>
          <w:szCs w:val="28"/>
        </w:rPr>
        <w:tab/>
        <w:t>Notification de l’attribution</w:t>
      </w:r>
    </w:p>
    <w:p w14:paraId="7F0885EA" w14:textId="77777777" w:rsidR="00032EDE" w:rsidRPr="00580F0C" w:rsidRDefault="00032EDE" w:rsidP="00032EDE">
      <w:pPr>
        <w:ind w:left="567"/>
        <w:jc w:val="both"/>
        <w:rPr>
          <w:rFonts w:ascii="Times New Roman" w:hAnsi="Times New Roman"/>
          <w:sz w:val="22"/>
        </w:rPr>
      </w:pPr>
      <w:r>
        <w:rPr>
          <w:rFonts w:ascii="Times New Roman" w:hAnsi="Times New Roman"/>
          <w:sz w:val="22"/>
        </w:rPr>
        <w:t>En soumettant une offre, chaque soumissionnaire accepte d’être informé des résultats de la procédure par voie électronique. Cette notification est réputée avoir été reçue à la date à laquelle le pouvoir adjudicateur l’envoie à l’adresse électronique indiquée dans l’offre.</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Le pouvoir adjudicateur informera simultanément et individuellement tous les soumissionnaires de la décision d’attribution. Les garanties de soumission seront restituées aux soumissionnaires non retenus une fois que le contrat aura été signé. </w:t>
      </w:r>
      <w:r>
        <w:rPr>
          <w:rFonts w:ascii="Times New Roman" w:hAnsi="Times New Roman"/>
          <w:sz w:val="22"/>
        </w:rPr>
        <w:t>L’attributaire sera informé par écrit que son offre a été retenue (notification de l’attribution).</w:t>
      </w:r>
    </w:p>
    <w:p w14:paraId="1C85E614" w14:textId="77777777" w:rsidR="0047783A" w:rsidRPr="001A2BC4" w:rsidRDefault="00EA1ADC" w:rsidP="009956B4">
      <w:pPr>
        <w:pStyle w:val="Titre1"/>
      </w:pPr>
      <w:bookmarkStart w:id="29" w:name="_Toc41467298"/>
      <w:bookmarkStart w:id="30" w:name="_Toc42488090"/>
      <w:r>
        <w:t>22.</w:t>
      </w:r>
      <w:r>
        <w:tab/>
        <w:t>Signature du contrat et garantie de bonne exécution</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Pr>
          <w:rFonts w:ascii="Times New Roman" w:hAnsi="Times New Roman"/>
          <w:sz w:val="22"/>
          <w:szCs w:val="22"/>
        </w:rPr>
        <w:t>22.</w:t>
      </w:r>
      <w:r>
        <w:rPr>
          <w:rFonts w:ascii="Times New Roman" w:hAnsi="Times New Roman"/>
        </w:rPr>
        <w:t>1</w:t>
      </w:r>
      <w:r>
        <w:rPr>
          <w:rFonts w:ascii="Times New Roman" w:hAnsi="Times New Roman"/>
        </w:rPr>
        <w:tab/>
      </w:r>
      <w:r>
        <w:rPr>
          <w:rFonts w:ascii="Times New Roman" w:hAnsi="Times New Roman"/>
          <w:sz w:val="22"/>
          <w:szCs w:val="22"/>
        </w:rPr>
        <w:t xml:space="preserve">Le pouvoir adjudicateur se réserve le droit de modifier les quantités prévues dans l’offre de plus ou moins 100 % au moment de la passation du marché et au cours de la période de validité du marché. L’augmentation ou la réduction de la valeur totale des fournitures résultant de cette modification ne peut excéder 25 % du montant de l’offre financière originale. Les prix unitaires qui figurent dans l’offre seront utilisés. </w:t>
      </w:r>
    </w:p>
    <w:p w14:paraId="113A701F" w14:textId="1B4AA1D6" w:rsidR="0047783A" w:rsidRPr="00E07D2A" w:rsidRDefault="0047783A" w:rsidP="0047783A">
      <w:pPr>
        <w:pStyle w:val="Titre2"/>
        <w:keepNext w:val="0"/>
        <w:ind w:left="567" w:hanging="567"/>
        <w:jc w:val="both"/>
        <w:rPr>
          <w:rFonts w:ascii="Times New Roman" w:hAnsi="Times New Roman"/>
        </w:rPr>
      </w:pPr>
      <w:r>
        <w:rPr>
          <w:rFonts w:ascii="Times New Roman" w:hAnsi="Times New Roman"/>
          <w:sz w:val="22"/>
          <w:szCs w:val="22"/>
        </w:rPr>
        <w:lastRenderedPageBreak/>
        <w:t>22.2</w:t>
      </w:r>
      <w:r>
        <w:rPr>
          <w:rFonts w:ascii="Times New Roman" w:hAnsi="Times New Roman"/>
          <w:sz w:val="22"/>
        </w:rPr>
        <w:tab/>
        <w:t>Dans un délai de 30 jours à compter de la réception du contrat signé par le pouvoir adjudicateur, l’attributaire doit signer et dater le contrat et le renvoyer, accompagné de la garantie de bonne exécution (si applicable), au pouvoir adjudicateur. Dès le moment où il signe le contrat, l’attributaire devient le contractant et le contrat entre en vigueur.</w:t>
      </w:r>
    </w:p>
    <w:bookmarkEnd w:id="31"/>
    <w:p w14:paraId="09EC1B19" w14:textId="16CD088B" w:rsidR="0047783A" w:rsidRPr="00E07D2A" w:rsidRDefault="0047783A" w:rsidP="0047783A">
      <w:pPr>
        <w:pStyle w:val="Titre2"/>
        <w:keepNext w:val="0"/>
        <w:ind w:left="567" w:hanging="567"/>
        <w:jc w:val="both"/>
        <w:rPr>
          <w:rFonts w:ascii="Times New Roman" w:hAnsi="Times New Roman"/>
          <w:sz w:val="22"/>
        </w:rPr>
      </w:pPr>
      <w:r>
        <w:rPr>
          <w:rFonts w:ascii="Times New Roman" w:hAnsi="Times New Roman"/>
          <w:sz w:val="22"/>
          <w:szCs w:val="22"/>
        </w:rPr>
        <w:t>22.3</w:t>
      </w:r>
      <w:r>
        <w:rPr>
          <w:rFonts w:ascii="Times New Roman" w:hAnsi="Times New Roman"/>
          <w:sz w:val="22"/>
        </w:rPr>
        <w:tab/>
        <w:t>Si l’attributaire ne signe pas le contrat et ne le renvoie pas, accompagné de la garantie financière requise, dans un délai de 30 jours à compter de la réception de la notification, le pouvoir adjudicateur peut considérer l’acceptation de l’offre comme nulle et non avenue, sans préjudice du droit de ce dernier de saisir la garantie, de demander une réparation ou d’exercer tout autre recours du fait de ce manquement et l’attributaire n’aura aucune possibilité de contestation.</w:t>
      </w:r>
    </w:p>
    <w:p w14:paraId="41D84CA6" w14:textId="17E86E36" w:rsidR="0047783A" w:rsidRPr="00E07D2A" w:rsidRDefault="0047783A" w:rsidP="0047783A">
      <w:pPr>
        <w:tabs>
          <w:tab w:val="num" w:pos="709"/>
        </w:tabs>
        <w:ind w:left="567" w:hanging="567"/>
        <w:jc w:val="both"/>
        <w:outlineLvl w:val="0"/>
        <w:rPr>
          <w:rFonts w:ascii="Times New Roman" w:hAnsi="Times New Roman"/>
          <w:sz w:val="22"/>
        </w:rPr>
      </w:pPr>
      <w:r>
        <w:rPr>
          <w:rFonts w:ascii="Times New Roman" w:hAnsi="Times New Roman"/>
          <w:sz w:val="22"/>
          <w:szCs w:val="22"/>
        </w:rPr>
        <w:t>22.4</w:t>
      </w:r>
      <w:r>
        <w:rPr>
          <w:rFonts w:ascii="Times New Roman" w:hAnsi="Times New Roman"/>
        </w:rPr>
        <w:tab/>
      </w:r>
      <w:r>
        <w:rPr>
          <w:rFonts w:ascii="Times New Roman" w:hAnsi="Times New Roman"/>
          <w:sz w:val="22"/>
        </w:rPr>
        <w:t xml:space="preserve">La garantie de bonne exécution mentionnée dans les conditions générales est fixée à </w:t>
      </w:r>
      <w:r w:rsidRPr="00B259F3">
        <w:rPr>
          <w:rFonts w:ascii="Times New Roman" w:hAnsi="Times New Roman"/>
          <w:sz w:val="22"/>
          <w:szCs w:val="22"/>
        </w:rPr>
        <w:t>10 %</w:t>
      </w:r>
      <w:r>
        <w:rPr>
          <w:rFonts w:ascii="Times New Roman" w:hAnsi="Times New Roman"/>
          <w:sz w:val="22"/>
        </w:rPr>
        <w:t xml:space="preserve"> du montant du marché. La garantie de bonne exécution doit être présentée sous la forme précisée dans l’annexe du dossier d’appel d’offres. Elle sera libérée dans les </w:t>
      </w:r>
      <w:r w:rsidR="00BC2D2B">
        <w:rPr>
          <w:rFonts w:ascii="Times New Roman" w:hAnsi="Times New Roman"/>
          <w:sz w:val="22"/>
        </w:rPr>
        <w:t>60</w:t>
      </w:r>
      <w:r>
        <w:rPr>
          <w:rFonts w:ascii="Times New Roman" w:hAnsi="Times New Roman"/>
          <w:sz w:val="22"/>
        </w:rPr>
        <w:t> jours suivant la délivrance du certificat de réception définitive par le pouvoir adjudicateur, sauf pour la partie correspondant au service après-vente. Pour les marchés dont la valeur est inférieure ou égale à 150 000 EUR, le pouvoir adjudicateur peut décider, en se basant sur des critères objectifs tels que le type et la valeur du marché, de ne pas exiger cette garantie.</w:t>
      </w:r>
    </w:p>
    <w:p w14:paraId="2201497C" w14:textId="77777777" w:rsidR="0047783A" w:rsidRPr="001A2BC4" w:rsidRDefault="00EA1ADC" w:rsidP="009956B4">
      <w:pPr>
        <w:pStyle w:val="Titre1"/>
      </w:pPr>
      <w:bookmarkStart w:id="32" w:name="_Toc41467299"/>
      <w:bookmarkStart w:id="33" w:name="_Toc42488091"/>
      <w:r>
        <w:t>23.</w:t>
      </w:r>
      <w:r>
        <w:tab/>
        <w:t>Garantie de soumission</w:t>
      </w:r>
      <w:bookmarkEnd w:id="32"/>
      <w:bookmarkEnd w:id="33"/>
    </w:p>
    <w:p w14:paraId="37999967" w14:textId="46E51515" w:rsidR="008718AA" w:rsidRPr="00E82463" w:rsidRDefault="002B7402" w:rsidP="00E07D2A">
      <w:pPr>
        <w:ind w:left="567"/>
        <w:jc w:val="both"/>
        <w:outlineLvl w:val="0"/>
        <w:rPr>
          <w:rFonts w:ascii="Times New Roman" w:hAnsi="Times New Roman"/>
          <w:sz w:val="22"/>
        </w:rPr>
      </w:pPr>
      <w:r w:rsidRPr="00B259F3">
        <w:rPr>
          <w:rFonts w:ascii="Times New Roman" w:hAnsi="Times New Roman"/>
          <w:sz w:val="22"/>
          <w:szCs w:val="22"/>
        </w:rPr>
        <w:t>Aucune garantie de soumission n’est requise</w:t>
      </w:r>
      <w:r w:rsidRPr="00B259F3">
        <w:rPr>
          <w:rFonts w:ascii="Times New Roman" w:hAnsi="Times New Roman"/>
        </w:rPr>
        <w:t>.</w:t>
      </w:r>
    </w:p>
    <w:p w14:paraId="1A9EE00F" w14:textId="77777777" w:rsidR="0047783A" w:rsidRPr="001A2BC4" w:rsidRDefault="00EA1ADC" w:rsidP="009956B4">
      <w:pPr>
        <w:pStyle w:val="Titre1"/>
      </w:pPr>
      <w:bookmarkStart w:id="34" w:name="_Toc42488092"/>
      <w:r>
        <w:t xml:space="preserve">24. </w:t>
      </w:r>
      <w:bookmarkStart w:id="35" w:name="_Toc41467300"/>
      <w:r>
        <w:t>Clauses déontologiques</w:t>
      </w:r>
      <w:bookmarkEnd w:id="34"/>
      <w:bookmarkEnd w:id="35"/>
      <w:r>
        <w:t xml:space="preserve"> et code de conduite</w:t>
      </w:r>
    </w:p>
    <w:p w14:paraId="5C06588B" w14:textId="77777777" w:rsidR="00442FF2" w:rsidRDefault="0047783A" w:rsidP="0047783A">
      <w:pPr>
        <w:pStyle w:val="Titre2"/>
        <w:keepNext w:val="0"/>
        <w:ind w:left="567" w:hanging="567"/>
        <w:jc w:val="both"/>
        <w:rPr>
          <w:rFonts w:ascii="Times New Roman" w:hAnsi="Times New Roman"/>
          <w:sz w:val="22"/>
          <w:u w:val="single"/>
        </w:rPr>
      </w:pPr>
      <w:r>
        <w:rPr>
          <w:rFonts w:ascii="Times New Roman" w:hAnsi="Times New Roman"/>
          <w:sz w:val="22"/>
        </w:rPr>
        <w:t>24.1</w:t>
      </w:r>
      <w:r>
        <w:rPr>
          <w:rFonts w:ascii="Times New Roman" w:hAnsi="Times New Roman"/>
          <w:sz w:val="22"/>
        </w:rPr>
        <w:tab/>
      </w:r>
      <w:r>
        <w:rPr>
          <w:rFonts w:ascii="Times New Roman" w:hAnsi="Times New Roman"/>
          <w:sz w:val="22"/>
          <w:u w:val="single"/>
        </w:rPr>
        <w:t>Absence de conflit d’intérêts</w:t>
      </w:r>
    </w:p>
    <w:p w14:paraId="7A7FB611" w14:textId="77777777" w:rsidR="00442FF2" w:rsidRPr="00C348C0" w:rsidRDefault="00442FF2" w:rsidP="00442FF2">
      <w:pPr>
        <w:keepNext/>
        <w:ind w:left="420"/>
        <w:jc w:val="both"/>
        <w:rPr>
          <w:rFonts w:ascii="Times New Roman" w:hAnsi="Times New Roman"/>
          <w:sz w:val="22"/>
          <w:szCs w:val="22"/>
        </w:rPr>
      </w:pPr>
      <w:r>
        <w:rPr>
          <w:rFonts w:ascii="Times New Roman" w:hAnsi="Times New Roman"/>
          <w:sz w:val="22"/>
          <w:szCs w:val="22"/>
        </w:rPr>
        <w:t xml:space="preserve">Le soumissionnaire ne peut avoir aucun conflit d’intérêts ni aucun lien spécifique équivalent avec d’autres soumissionnaires ou d’autres parties au projet. Toute tentative d’un soumissionnaire visant à se procurer des informations confidentielles, à conclure des accords illicites avec ses concurrents ou à influencer le comité d’évaluation ou le pouvoir adjudicateur au cours de la procédure d’examen, de clarification, d’évaluation et de comparaison des offres entraînera le rejet de son offre et l’expose à des sanctions administratives conformément au règlement financier en vigueur. </w:t>
      </w:r>
    </w:p>
    <w:p w14:paraId="1078A7C2" w14:textId="77777777" w:rsidR="00442FF2" w:rsidRDefault="0047783A" w:rsidP="00442FF2">
      <w:pPr>
        <w:pStyle w:val="Titre2"/>
        <w:keepNext w:val="0"/>
        <w:ind w:left="567" w:hanging="567"/>
        <w:jc w:val="both"/>
        <w:rPr>
          <w:rFonts w:ascii="Times New Roman" w:hAnsi="Times New Roman"/>
          <w:sz w:val="22"/>
        </w:rPr>
      </w:pPr>
      <w:r>
        <w:rPr>
          <w:rFonts w:ascii="Times New Roman" w:hAnsi="Times New Roman"/>
          <w:sz w:val="22"/>
        </w:rPr>
        <w:t>24.2</w:t>
      </w:r>
      <w:r>
        <w:rPr>
          <w:rFonts w:ascii="Times New Roman" w:hAnsi="Times New Roman"/>
          <w:sz w:val="22"/>
        </w:rPr>
        <w:tab/>
      </w:r>
      <w:r>
        <w:rPr>
          <w:rFonts w:ascii="Times New Roman" w:hAnsi="Times New Roman"/>
          <w:sz w:val="22"/>
          <w:u w:val="single"/>
        </w:rPr>
        <w:t>Respect des droits de l’homme, de la législation en matière d’environnement et des normes fondamentales du travail</w:t>
      </w:r>
      <w:r>
        <w:rPr>
          <w:rFonts w:ascii="Times New Roman" w:hAnsi="Times New Roman"/>
          <w:sz w:val="22"/>
        </w:rPr>
        <w:t xml:space="preserve"> </w:t>
      </w:r>
    </w:p>
    <w:p w14:paraId="7FC8816F" w14:textId="328A3D95" w:rsidR="00442FF2" w:rsidRDefault="00442FF2" w:rsidP="00442FF2">
      <w:pPr>
        <w:keepNext/>
        <w:ind w:left="420"/>
        <w:jc w:val="both"/>
        <w:rPr>
          <w:rFonts w:ascii="Times New Roman" w:hAnsi="Times New Roman"/>
          <w:sz w:val="22"/>
          <w:szCs w:val="22"/>
        </w:rPr>
      </w:pPr>
      <w:r>
        <w:rPr>
          <w:rFonts w:ascii="Times New Roman" w:hAnsi="Times New Roman"/>
          <w:sz w:val="22"/>
          <w:szCs w:val="22"/>
        </w:rPr>
        <w:t xml:space="preserve">Le soumissionnaire et son personnel doivent respecter les droits de l’homme ainsi que les règles applicables en matière de protection des données. En particulier et conformément à l’acte de base applicable, les soumissionnaires et les candidats qui se voient attribuer un marché ou une subvention respectent la législation environnementale, notamment les accords multilatéraux en matière environnementale, ainsi que les normes fondamentales en matière de travail applicables, telles que définies dans les conventions pertinentes de l’Organisation internationale du travail </w:t>
      </w:r>
      <w:r>
        <w:rPr>
          <w:rFonts w:ascii="Times New Roman" w:hAnsi="Times New Roman"/>
          <w:sz w:val="22"/>
          <w:szCs w:val="22"/>
        </w:rPr>
        <w:lastRenderedPageBreak/>
        <w:t>(notamment les conventions sur la liberté syndicale et la négociation collective, l’abolition du travail forcé et obligatoire; l’abolition du travail des enfants).</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Pr>
          <w:rFonts w:ascii="Times New Roman" w:hAnsi="Times New Roman"/>
          <w:b/>
          <w:sz w:val="22"/>
          <w:szCs w:val="22"/>
        </w:rPr>
        <w:t>Tolérance zéro pour l’exploitation, l’abus et le harcèlement sexuels</w:t>
      </w:r>
    </w:p>
    <w:p w14:paraId="7428608B" w14:textId="0B35A11E" w:rsidR="00442FF2" w:rsidRPr="00C348C0" w:rsidRDefault="00B93A2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Pr>
          <w:rFonts w:ascii="Times New Roman" w:hAnsi="Times New Roman"/>
          <w:sz w:val="22"/>
          <w:szCs w:val="22"/>
        </w:rPr>
        <w:t>L</w:t>
      </w:r>
      <w:r w:rsidR="00442FF2">
        <w:rPr>
          <w:rFonts w:ascii="Times New Roman" w:hAnsi="Times New Roman"/>
          <w:sz w:val="22"/>
          <w:szCs w:val="22"/>
        </w:rPr>
        <w:t>a Commission européenne applique une politique de</w:t>
      </w:r>
      <w:r>
        <w:rPr>
          <w:rFonts w:ascii="Times New Roman" w:hAnsi="Times New Roman"/>
          <w:sz w:val="22"/>
          <w:szCs w:val="22"/>
        </w:rPr>
        <w:t xml:space="preserve"> « tolérance</w:t>
      </w:r>
      <w:r w:rsidR="00442FF2">
        <w:rPr>
          <w:rFonts w:ascii="Times New Roman" w:hAnsi="Times New Roman"/>
          <w:sz w:val="22"/>
          <w:szCs w:val="22"/>
        </w:rPr>
        <w:t xml:space="preserve"> </w:t>
      </w:r>
      <w:r>
        <w:rPr>
          <w:rFonts w:ascii="Times New Roman" w:hAnsi="Times New Roman"/>
          <w:sz w:val="22"/>
          <w:szCs w:val="22"/>
        </w:rPr>
        <w:t>zéro »</w:t>
      </w:r>
      <w:r w:rsidR="00442FF2">
        <w:rPr>
          <w:rFonts w:ascii="Times New Roman" w:hAnsi="Times New Roman"/>
          <w:sz w:val="22"/>
          <w:szCs w:val="22"/>
        </w:rPr>
        <w:t xml:space="preserve"> en ce qui concerne l’ensemble des comportements fautifs ayant une incidence sur la crédibilité professionnelle du soumissionnaire.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Pr>
          <w:rFonts w:ascii="Times New Roman" w:hAnsi="Times New Roman"/>
          <w:sz w:val="22"/>
          <w:szCs w:val="22"/>
        </w:rPr>
        <w:t xml:space="preserve">Toute forme de violence physique ou de punition, ainsi que les menaces de violence physique, les abus et l’exploitation sexuels, le harcèlement et la violence verbale, ou toute autre forme d’intimidation sont interdits. </w:t>
      </w:r>
    </w:p>
    <w:p w14:paraId="55379675" w14:textId="77777777" w:rsidR="00442FF2" w:rsidRDefault="0047783A" w:rsidP="00442FF2">
      <w:pPr>
        <w:pStyle w:val="Titre2"/>
        <w:keepNext w:val="0"/>
        <w:ind w:left="567" w:hanging="567"/>
        <w:jc w:val="both"/>
        <w:rPr>
          <w:rFonts w:ascii="Times New Roman" w:hAnsi="Times New Roman"/>
          <w:sz w:val="22"/>
          <w:u w:val="single"/>
        </w:rPr>
      </w:pPr>
      <w:r>
        <w:rPr>
          <w:rFonts w:ascii="Times New Roman" w:hAnsi="Times New Roman"/>
          <w:sz w:val="22"/>
        </w:rPr>
        <w:t>24.3</w:t>
      </w:r>
      <w:r>
        <w:t xml:space="preserve"> </w:t>
      </w:r>
      <w:r>
        <w:rPr>
          <w:rFonts w:ascii="Times New Roman" w:hAnsi="Times New Roman"/>
          <w:sz w:val="22"/>
          <w:u w:val="single"/>
        </w:rPr>
        <w:t>Lutte contre la corruption</w:t>
      </w:r>
    </w:p>
    <w:p w14:paraId="5093F493" w14:textId="34187368" w:rsidR="0047783A" w:rsidRPr="00E82463" w:rsidRDefault="00442FF2" w:rsidP="00FC6A15">
      <w:pPr>
        <w:ind w:left="420"/>
        <w:jc w:val="both"/>
        <w:rPr>
          <w:rFonts w:ascii="Times New Roman" w:hAnsi="Times New Roman"/>
          <w:sz w:val="22"/>
        </w:rPr>
      </w:pPr>
      <w:r>
        <w:rPr>
          <w:rFonts w:ascii="Times New Roman" w:hAnsi="Times New Roman"/>
          <w:sz w:val="22"/>
          <w:szCs w:val="22"/>
        </w:rPr>
        <w:t>Le soumissionnaire doit respecter l’ensemble des législations, réglementations et codes applicables ayant trait à la lutte contre la corruption. La Commission européenne se réserve le droit de suspendre ou d’annuler le financement des projets si des pratiques de corruption de quelque nature qu’elles soient sont découvertes à toute étape de la procédure de passation du marché ou pendant l’exécution d’un marché et si le pouvoir adjudicateur ne prend pas toutes les mesures appropriées pour remédier à cette situation. Au sens de la présente disposition, on entend par</w:t>
      </w:r>
      <w:r w:rsidR="00B93A22">
        <w:rPr>
          <w:rFonts w:ascii="Times New Roman" w:hAnsi="Times New Roman"/>
          <w:sz w:val="22"/>
          <w:szCs w:val="22"/>
        </w:rPr>
        <w:t xml:space="preserve"> « pratiques</w:t>
      </w:r>
      <w:r>
        <w:rPr>
          <w:rFonts w:ascii="Times New Roman" w:hAnsi="Times New Roman"/>
          <w:sz w:val="22"/>
          <w:szCs w:val="22"/>
        </w:rPr>
        <w:t xml:space="preserve"> de </w:t>
      </w:r>
      <w:r w:rsidR="00B93A22">
        <w:rPr>
          <w:rFonts w:ascii="Times New Roman" w:hAnsi="Times New Roman"/>
          <w:sz w:val="22"/>
          <w:szCs w:val="22"/>
        </w:rPr>
        <w:t>corruption »</w:t>
      </w:r>
      <w:r>
        <w:rPr>
          <w:rFonts w:ascii="Times New Roman" w:hAnsi="Times New Roman"/>
          <w:sz w:val="22"/>
          <w:szCs w:val="22"/>
        </w:rPr>
        <w:t xml:space="preserve"> l’offre faite à toute personne d’un paiement illicite, d’un présent, d’une gratification ou d’une commission à titre d’incitation ou de récompense pour qu’elle accomplisse ou s’abstienne d’accomplir des actes ayant trait à l’attribution d’un marché ou à l’exécution d’un marché déjà conclu avec le pouvoir adjudicateur.</w:t>
      </w:r>
    </w:p>
    <w:p w14:paraId="571A7EB9" w14:textId="77777777" w:rsidR="00442FF2" w:rsidRDefault="0047783A" w:rsidP="0047783A">
      <w:pPr>
        <w:pStyle w:val="Titre2"/>
        <w:keepNext w:val="0"/>
        <w:ind w:left="567" w:hanging="567"/>
        <w:jc w:val="both"/>
        <w:rPr>
          <w:rFonts w:ascii="Times New Roman" w:hAnsi="Times New Roman"/>
          <w:sz w:val="22"/>
        </w:rPr>
      </w:pPr>
      <w:r>
        <w:rPr>
          <w:rFonts w:ascii="Times New Roman" w:hAnsi="Times New Roman"/>
          <w:sz w:val="22"/>
        </w:rPr>
        <w:t>24.4</w:t>
      </w:r>
      <w:r>
        <w:rPr>
          <w:rFonts w:ascii="Times New Roman" w:hAnsi="Times New Roman"/>
          <w:sz w:val="22"/>
        </w:rPr>
        <w:tab/>
      </w:r>
      <w:r>
        <w:rPr>
          <w:rFonts w:ascii="Times New Roman" w:hAnsi="Times New Roman"/>
          <w:sz w:val="22"/>
          <w:u w:val="single"/>
        </w:rPr>
        <w:t>Frais commerciaux extraordinaires</w:t>
      </w:r>
      <w:r>
        <w:rPr>
          <w:rFonts w:ascii="Times New Roman" w:hAnsi="Times New Roman"/>
          <w:sz w:val="22"/>
        </w:rPr>
        <w:t xml:space="preserve"> </w:t>
      </w:r>
    </w:p>
    <w:p w14:paraId="2E7C5873" w14:textId="77777777" w:rsidR="00442FF2" w:rsidRPr="00C348C0" w:rsidRDefault="00442FF2" w:rsidP="00442FF2">
      <w:pPr>
        <w:ind w:left="397"/>
        <w:jc w:val="both"/>
        <w:rPr>
          <w:rFonts w:ascii="Times New Roman" w:hAnsi="Times New Roman"/>
          <w:sz w:val="22"/>
          <w:szCs w:val="22"/>
        </w:rPr>
      </w:pPr>
      <w:r>
        <w:rPr>
          <w:rFonts w:ascii="Times New Roman" w:hAnsi="Times New Roman"/>
          <w:sz w:val="22"/>
          <w:szCs w:val="22"/>
        </w:rPr>
        <w:t>Toute offre sera rejetée ou tout marché annulé s’il s’avère que l’attribution du marché ou son exécution a donné lieu à des frais commerciaux extraordinaires. Les frais commerciaux extraordinaires sont des commissions qui ne sont pas mentionnées dans le marché principal ou qui ne résultent pas d’un marché passé en bonne et due forme faisant référence au marché principal, des commissions qui ne sont pas versées en échange d’un service légitime effectif, des commissions versées dans un paradis fiscal, des commissions versées à un bénéficiaire non clairement identifié ou à une société qui a toutes les apparences d’une société écran.</w:t>
      </w:r>
    </w:p>
    <w:p w14:paraId="7359F410" w14:textId="77777777" w:rsidR="00442FF2" w:rsidRPr="00C348C0" w:rsidRDefault="00442FF2" w:rsidP="00442FF2">
      <w:pPr>
        <w:ind w:left="397"/>
        <w:jc w:val="both"/>
        <w:rPr>
          <w:rFonts w:ascii="Times New Roman" w:hAnsi="Times New Roman"/>
          <w:sz w:val="22"/>
          <w:szCs w:val="22"/>
        </w:rPr>
      </w:pPr>
      <w:r>
        <w:rPr>
          <w:rFonts w:ascii="Times New Roman" w:hAnsi="Times New Roman"/>
          <w:sz w:val="22"/>
          <w:szCs w:val="22"/>
        </w:rPr>
        <w:t>Les contractants convaincus d’avoir payé des frais commerciaux extraordinaires sur des projets financés par l’Union européenne s’exposent, en fonction de la gravité des faits constatés, à la résiliation du marché ou à une exclusion définitive du bénéfice des financements de l’UE.</w:t>
      </w:r>
    </w:p>
    <w:p w14:paraId="5CF5042B" w14:textId="77777777" w:rsidR="00442FF2" w:rsidRPr="00C348C0" w:rsidRDefault="0047783A" w:rsidP="0047783A">
      <w:pPr>
        <w:pStyle w:val="Titre2"/>
        <w:keepNext w:val="0"/>
        <w:ind w:left="567" w:hanging="567"/>
        <w:jc w:val="both"/>
        <w:rPr>
          <w:rFonts w:ascii="Times New Roman" w:hAnsi="Times New Roman"/>
          <w:sz w:val="22"/>
          <w:u w:val="single"/>
        </w:rPr>
      </w:pPr>
      <w:r>
        <w:rPr>
          <w:rFonts w:ascii="Times New Roman" w:hAnsi="Times New Roman"/>
          <w:sz w:val="22"/>
        </w:rPr>
        <w:t>24.5</w:t>
      </w:r>
      <w:r>
        <w:rPr>
          <w:rFonts w:ascii="Times New Roman" w:hAnsi="Times New Roman"/>
          <w:sz w:val="22"/>
        </w:rPr>
        <w:tab/>
      </w:r>
      <w:r>
        <w:rPr>
          <w:rFonts w:ascii="Times New Roman" w:hAnsi="Times New Roman"/>
          <w:sz w:val="22"/>
          <w:u w:val="single"/>
        </w:rPr>
        <w:t>Violation des obligations, irrégularités ou fraude</w:t>
      </w:r>
    </w:p>
    <w:p w14:paraId="3EADD74A" w14:textId="77777777" w:rsidR="00442FF2" w:rsidRPr="00C348C0" w:rsidRDefault="00442FF2" w:rsidP="00442FF2">
      <w:pPr>
        <w:ind w:left="397"/>
        <w:jc w:val="both"/>
        <w:rPr>
          <w:rFonts w:ascii="Times New Roman" w:hAnsi="Times New Roman"/>
          <w:sz w:val="22"/>
          <w:szCs w:val="22"/>
        </w:rPr>
      </w:pPr>
      <w:r>
        <w:rPr>
          <w:rFonts w:ascii="Times New Roman" w:hAnsi="Times New Roman"/>
          <w:sz w:val="22"/>
          <w:szCs w:val="22"/>
        </w:rPr>
        <w:t>Le pouvoir adjudicateur se réserve le droit de suspendre ou d’annuler la procédure lorsqu’il s’avère que la procédure d’attribution du marché est entachée d’une violation des obligations, d’irrégularités ou de fraude. Lorsqu’une violation des obligations, des irrégularités ou une fraude sont découvertes après l’attribution du marché, le pouvoir adjudicateur peut s’abstenir de conclure le marché.</w:t>
      </w:r>
    </w:p>
    <w:p w14:paraId="751B87C0" w14:textId="77777777" w:rsidR="0047783A" w:rsidRPr="001A2BC4" w:rsidRDefault="00EA1ADC" w:rsidP="009956B4">
      <w:pPr>
        <w:pStyle w:val="Titre1"/>
      </w:pPr>
      <w:bookmarkStart w:id="36" w:name="_Toc42488093"/>
      <w:r>
        <w:t>25.</w:t>
      </w:r>
      <w:r>
        <w:tab/>
        <w:t>Annulation de l’appel d’offres</w:t>
      </w:r>
      <w:bookmarkEnd w:id="36"/>
    </w:p>
    <w:p w14:paraId="266FA0E6" w14:textId="77777777" w:rsidR="00032EDE" w:rsidRDefault="0047783A" w:rsidP="0047783A">
      <w:pPr>
        <w:pStyle w:val="Corpsdetexte"/>
        <w:ind w:left="567"/>
        <w:jc w:val="both"/>
        <w:rPr>
          <w:rFonts w:ascii="Times New Roman" w:hAnsi="Times New Roman"/>
          <w:sz w:val="22"/>
        </w:rPr>
      </w:pPr>
      <w:r>
        <w:rPr>
          <w:rFonts w:ascii="Times New Roman" w:hAnsi="Times New Roman"/>
          <w:sz w:val="22"/>
        </w:rPr>
        <w:t xml:space="preserve">En cas d’annulation d’un appel d’offres, les soumissionnaires sont informés de cette annulation par le pouvoir adjudicateur. </w:t>
      </w:r>
    </w:p>
    <w:p w14:paraId="3C33C963" w14:textId="50E61991" w:rsidR="0047783A" w:rsidRPr="00E82463" w:rsidRDefault="0047783A" w:rsidP="0047783A">
      <w:pPr>
        <w:pStyle w:val="Corpsdetexte"/>
        <w:ind w:left="567"/>
        <w:jc w:val="both"/>
        <w:rPr>
          <w:rFonts w:ascii="Times New Roman" w:hAnsi="Times New Roman"/>
        </w:rPr>
      </w:pPr>
      <w:r>
        <w:rPr>
          <w:rFonts w:ascii="Times New Roman" w:hAnsi="Times New Roman"/>
          <w:sz w:val="22"/>
        </w:rPr>
        <w:t>Si l’appel d’offres est annulé avant la séance d’ouverture des offres, les enveloppes scellées sont renvoyées aux soumissionnaires sans avoir été ouvertes.</w:t>
      </w:r>
    </w:p>
    <w:p w14:paraId="29C19F87" w14:textId="77777777" w:rsidR="0047783A" w:rsidRPr="00E82463" w:rsidRDefault="0047783A" w:rsidP="00E82463">
      <w:pPr>
        <w:pStyle w:val="Corpsdetexte"/>
        <w:spacing w:after="0"/>
        <w:ind w:left="567"/>
        <w:jc w:val="both"/>
        <w:rPr>
          <w:rFonts w:ascii="Times New Roman" w:hAnsi="Times New Roman"/>
          <w:sz w:val="22"/>
        </w:rPr>
      </w:pPr>
      <w:r>
        <w:rPr>
          <w:rFonts w:ascii="Times New Roman" w:hAnsi="Times New Roman"/>
          <w:sz w:val="22"/>
        </w:rPr>
        <w:t>Un appel d’offres peut être annulé, par exemple, si:</w:t>
      </w:r>
    </w:p>
    <w:p w14:paraId="0411B93E" w14:textId="77777777" w:rsidR="0047783A" w:rsidRPr="00E82463" w:rsidRDefault="0047783A" w:rsidP="00E82463">
      <w:pPr>
        <w:pStyle w:val="Retraitcorpsdetexte"/>
        <w:numPr>
          <w:ilvl w:val="0"/>
          <w:numId w:val="21"/>
        </w:numPr>
        <w:tabs>
          <w:tab w:val="left" w:pos="1134"/>
        </w:tabs>
        <w:spacing w:before="120"/>
        <w:ind w:left="1134"/>
        <w:rPr>
          <w:sz w:val="22"/>
        </w:rPr>
      </w:pPr>
      <w:r>
        <w:rPr>
          <w:sz w:val="22"/>
        </w:rPr>
        <w:lastRenderedPageBreak/>
        <w:t>l’appel d’offres est demeuré infructueux, c’est-à-dire lorsqu’aucune offre méritant d’être retenue sur le plan qualitatif ou financier ou aucune réponse valable n’ont été reçues;</w:t>
      </w:r>
    </w:p>
    <w:p w14:paraId="36FC1FAB" w14:textId="77777777" w:rsidR="0047783A" w:rsidRPr="00E82463" w:rsidRDefault="0047783A" w:rsidP="00AC07D4">
      <w:pPr>
        <w:pStyle w:val="Retraitcorpsdetexte"/>
        <w:numPr>
          <w:ilvl w:val="0"/>
          <w:numId w:val="21"/>
        </w:numPr>
        <w:tabs>
          <w:tab w:val="left" w:pos="1134"/>
        </w:tabs>
        <w:spacing w:before="120"/>
        <w:ind w:left="1134"/>
        <w:rPr>
          <w:sz w:val="22"/>
        </w:rPr>
      </w:pPr>
      <w:r>
        <w:rPr>
          <w:sz w:val="22"/>
        </w:rPr>
        <w:t>les éléments techniques ou économiques du projet ont été fondamentalement modifiés;</w:t>
      </w:r>
    </w:p>
    <w:p w14:paraId="0157BA0B" w14:textId="77777777" w:rsidR="0047783A" w:rsidRPr="00E82463" w:rsidRDefault="0047783A" w:rsidP="00AC07D4">
      <w:pPr>
        <w:pStyle w:val="Retraitcorpsdetexte"/>
        <w:numPr>
          <w:ilvl w:val="0"/>
          <w:numId w:val="21"/>
        </w:numPr>
        <w:tabs>
          <w:tab w:val="left" w:pos="1134"/>
        </w:tabs>
        <w:spacing w:before="120"/>
        <w:ind w:left="1134"/>
        <w:rPr>
          <w:sz w:val="22"/>
        </w:rPr>
      </w:pPr>
      <w:r>
        <w:rPr>
          <w:sz w:val="22"/>
        </w:rPr>
        <w:t>des circonstances exceptionnelles ou un cas de force majeure rendent impossible l’exécution normale du projet;</w:t>
      </w:r>
    </w:p>
    <w:p w14:paraId="1D88E016" w14:textId="77777777" w:rsidR="0047783A" w:rsidRPr="00E82463" w:rsidRDefault="0047783A" w:rsidP="00AC07D4">
      <w:pPr>
        <w:pStyle w:val="Retraitcorpsdetexte"/>
        <w:numPr>
          <w:ilvl w:val="0"/>
          <w:numId w:val="21"/>
        </w:numPr>
        <w:tabs>
          <w:tab w:val="left" w:pos="1134"/>
        </w:tabs>
        <w:spacing w:before="120"/>
        <w:ind w:left="1134"/>
        <w:rPr>
          <w:sz w:val="22"/>
        </w:rPr>
      </w:pPr>
      <w:r>
        <w:rPr>
          <w:sz w:val="22"/>
        </w:rPr>
        <w:t xml:space="preserve">toutes les offres </w:t>
      </w:r>
      <w:r>
        <w:rPr>
          <w:sz w:val="22"/>
          <w:szCs w:val="22"/>
        </w:rPr>
        <w:t>acceptables</w:t>
      </w:r>
      <w:r>
        <w:rPr>
          <w:sz w:val="22"/>
        </w:rPr>
        <w:t xml:space="preserve"> sur le plan technique excèdent les ressources financières disponibles;</w:t>
      </w:r>
    </w:p>
    <w:p w14:paraId="2709664A" w14:textId="77777777" w:rsidR="0047783A" w:rsidRPr="00E82463" w:rsidRDefault="0047783A" w:rsidP="00AC07D4">
      <w:pPr>
        <w:pStyle w:val="Retraitcorpsdetexte"/>
        <w:numPr>
          <w:ilvl w:val="0"/>
          <w:numId w:val="21"/>
        </w:numPr>
        <w:tabs>
          <w:tab w:val="left" w:pos="1134"/>
        </w:tabs>
        <w:spacing w:before="120" w:after="120"/>
        <w:ind w:left="1134"/>
        <w:rPr>
          <w:sz w:val="22"/>
        </w:rPr>
      </w:pPr>
      <w:r>
        <w:rPr>
          <w:sz w:val="22"/>
        </w:rPr>
        <w:t xml:space="preserve">une </w:t>
      </w:r>
      <w:r>
        <w:rPr>
          <w:sz w:val="22"/>
          <w:szCs w:val="22"/>
        </w:rPr>
        <w:t>violation des obligations</w:t>
      </w:r>
      <w:r>
        <w:rPr>
          <w:sz w:val="22"/>
        </w:rPr>
        <w:t xml:space="preserve">, des irrégularités ou une </w:t>
      </w:r>
      <w:r>
        <w:rPr>
          <w:sz w:val="22"/>
          <w:szCs w:val="22"/>
        </w:rPr>
        <w:t>fraude</w:t>
      </w:r>
      <w:r>
        <w:rPr>
          <w:sz w:val="22"/>
        </w:rPr>
        <w:t xml:space="preserve"> ont été constatées au cours de la procédure, notamment si elles ont constitué une entrave à une concurrence loyale;</w:t>
      </w:r>
    </w:p>
    <w:p w14:paraId="2EA5F000" w14:textId="77777777" w:rsidR="0047783A" w:rsidRPr="00E82463" w:rsidRDefault="0047783A" w:rsidP="00AC07D4">
      <w:pPr>
        <w:pStyle w:val="Retraitcorpsdetexte"/>
        <w:numPr>
          <w:ilvl w:val="0"/>
          <w:numId w:val="21"/>
        </w:numPr>
        <w:tabs>
          <w:tab w:val="left" w:pos="1134"/>
        </w:tabs>
        <w:spacing w:before="120" w:after="120"/>
        <w:ind w:left="1134"/>
        <w:rPr>
          <w:sz w:val="22"/>
          <w:szCs w:val="22"/>
        </w:rPr>
      </w:pPr>
      <w:r>
        <w:rPr>
          <w:snapToGrid/>
          <w:sz w:val="22"/>
          <w:szCs w:val="22"/>
        </w:rPr>
        <w:t>l’attribution du marché ne respecte pas les principes de bonne gestion financière</w:t>
      </w:r>
      <w:r>
        <w:rPr>
          <w:sz w:val="22"/>
          <w:szCs w:val="22"/>
        </w:rPr>
        <w:t>, c’est-à-dire les principes d’économie, d’efficience et d’efficacité (par exemple, lorsque le prix proposé par le soumissionnaire auquel le marché doit être attribué est objectivement disproportionné par rapport au prix du marché)</w:t>
      </w:r>
      <w:r>
        <w:rPr>
          <w:snapToGrid/>
          <w:sz w:val="22"/>
          <w:szCs w:val="22"/>
        </w:rPr>
        <w:t>.</w:t>
      </w:r>
    </w:p>
    <w:p w14:paraId="2EF4FA4B" w14:textId="77777777" w:rsidR="0047783A" w:rsidRPr="009956B4" w:rsidRDefault="0047783A" w:rsidP="0047783A">
      <w:pPr>
        <w:pStyle w:val="Corpsdetexte2"/>
        <w:tabs>
          <w:tab w:val="left" w:pos="567"/>
        </w:tabs>
        <w:spacing w:before="120" w:after="120"/>
        <w:ind w:left="567"/>
        <w:rPr>
          <w:sz w:val="22"/>
          <w:szCs w:val="22"/>
        </w:rPr>
      </w:pPr>
      <w:r>
        <w:rPr>
          <w:sz w:val="22"/>
          <w:szCs w:val="22"/>
        </w:rPr>
        <w:t>Le pouvoir adjudicateur ne sera en aucun cas tenu de verser des dommages-intérêts de quelque nature que ce soit, y compris, sans que cela soit limitatif, une indemnisation pour manque à gagner, liés d’une quelconque manière à l’annulation d’un appel d’offres, même s’il a été informé de la possibilité d’un préjudice. La publication d’un avis de marché n’engage pas le pouvoir adjudicateur à exécuter le programme ou le projet annoncé.</w:t>
      </w:r>
    </w:p>
    <w:p w14:paraId="0732D99E" w14:textId="77777777" w:rsidR="0047783A" w:rsidRPr="001A2BC4" w:rsidRDefault="00EA1ADC" w:rsidP="009956B4">
      <w:pPr>
        <w:pStyle w:val="Titre1"/>
      </w:pPr>
      <w:r>
        <w:t xml:space="preserve">26. </w:t>
      </w:r>
      <w:r>
        <w:tab/>
        <w:t>Recours</w:t>
      </w:r>
    </w:p>
    <w:p w14:paraId="44D32D5F" w14:textId="77777777" w:rsidR="0047783A" w:rsidRPr="00E82463" w:rsidRDefault="0047783A" w:rsidP="00E82463">
      <w:pPr>
        <w:pStyle w:val="Corpsdetexte2"/>
        <w:tabs>
          <w:tab w:val="clear" w:pos="567"/>
        </w:tabs>
        <w:spacing w:after="120"/>
        <w:ind w:left="567"/>
        <w:rPr>
          <w:sz w:val="22"/>
          <w:szCs w:val="22"/>
        </w:rPr>
      </w:pPr>
      <w:r>
        <w:rPr>
          <w:sz w:val="22"/>
          <w:szCs w:val="22"/>
        </w:rPr>
        <w:t>Les soumissionnaires qui s’estiment lésés par une erreur ou irrégularité commise dans le cadre de la procédure d’attribution peuvent introduire une plainte. Voir la section 2.12. du PRAG.</w:t>
      </w:r>
    </w:p>
    <w:p w14:paraId="748062B9" w14:textId="77777777" w:rsidR="00A50D37" w:rsidRPr="009956B4" w:rsidRDefault="00FC6A15" w:rsidP="000E0AE8">
      <w:pPr>
        <w:keepNext/>
        <w:jc w:val="both"/>
        <w:rPr>
          <w:rFonts w:ascii="Times New Roman" w:hAnsi="Times New Roman"/>
          <w:b/>
          <w:sz w:val="28"/>
        </w:rPr>
      </w:pPr>
      <w:r>
        <w:rPr>
          <w:rFonts w:ascii="Times New Roman" w:hAnsi="Times New Roman"/>
          <w:b/>
          <w:sz w:val="28"/>
        </w:rPr>
        <w:t xml:space="preserve"> 27. Protection des données</w:t>
      </w:r>
    </w:p>
    <w:p w14:paraId="51D79475" w14:textId="0FBE4EF2" w:rsidR="00A50D37" w:rsidRPr="00B259F3" w:rsidRDefault="00FC6A15" w:rsidP="00183955">
      <w:pPr>
        <w:tabs>
          <w:tab w:val="left" w:pos="567"/>
        </w:tabs>
        <w:ind w:left="567"/>
        <w:jc w:val="both"/>
        <w:rPr>
          <w:rFonts w:ascii="Times New Roman" w:hAnsi="Times New Roman"/>
          <w:sz w:val="22"/>
          <w:szCs w:val="22"/>
        </w:rPr>
      </w:pPr>
      <w:r w:rsidRPr="00B259F3">
        <w:rPr>
          <w:rFonts w:ascii="Times New Roman" w:hAnsi="Times New Roman"/>
          <w:sz w:val="22"/>
          <w:szCs w:val="22"/>
        </w:rPr>
        <w:t>Le traitement des données à caractère personnel liées à cet appel d’offres par le pouvoir adjudicateur est effectué conformément à la législation nationale de l’État du pouvoir adjudicateur et conformément aux dispositions de la convention de financement correspondante.</w:t>
      </w:r>
    </w:p>
    <w:p w14:paraId="5224E260" w14:textId="63E21930" w:rsidR="00A50D37" w:rsidRPr="00B259F3" w:rsidRDefault="00A50D37" w:rsidP="00183955">
      <w:pPr>
        <w:tabs>
          <w:tab w:val="left" w:pos="567"/>
        </w:tabs>
        <w:ind w:left="567"/>
        <w:jc w:val="both"/>
        <w:rPr>
          <w:rFonts w:ascii="Times New Roman" w:hAnsi="Times New Roman"/>
          <w:sz w:val="22"/>
          <w:szCs w:val="22"/>
        </w:rPr>
      </w:pPr>
      <w:r w:rsidRPr="00B259F3">
        <w:rPr>
          <w:rFonts w:ascii="Times New Roman" w:hAnsi="Times New Roman"/>
          <w:sz w:val="22"/>
          <w:szCs w:val="22"/>
        </w:rPr>
        <w:t>L’appel d’offres et le contrat renvoient à une action extérieure financée par l’UE, représentée par la Commission européenne. Si le traitement de votre réponse à l’invitation à soumissionner nécessite le transfert de données à caractère personnel (tel que des noms, des coordonnées et des CV) à la Commission européenne, ces données ne seront traitées qu</w:t>
      </w:r>
      <w:r w:rsidR="00E160B3" w:rsidRPr="00B259F3">
        <w:rPr>
          <w:rFonts w:ascii="Times New Roman" w:hAnsi="Times New Roman"/>
          <w:sz w:val="22"/>
          <w:szCs w:val="22"/>
        </w:rPr>
        <w:t>’</w:t>
      </w:r>
      <w:r w:rsidRPr="00B259F3">
        <w:rPr>
          <w:rFonts w:ascii="Times New Roman" w:hAnsi="Times New Roman"/>
          <w:sz w:val="22"/>
          <w:szCs w:val="22"/>
        </w:rPr>
        <w:t>aux fins de la surveillance de la procédure de passation de marché et de l’exécution du marché par la Commission, pour que cette dernière respecte ses obligations conformément au cadre législatif applicable et conformément à la convention de financement signée entre l’UE et le pays partenaire, sans préjudice d’une transmission possible aux entités chargées des tâches de surveillance ou d’inspection en application de la législation de l’UE. Pour les données transférées par le pouvoir adjudicateur à la Commission européenne, le responsable du traitement des données à caractère personnel mené au sein de la Commission est</w:t>
      </w:r>
      <w:r w:rsidR="00B259F3">
        <w:rPr>
          <w:rFonts w:ascii="Times New Roman" w:hAnsi="Times New Roman"/>
          <w:sz w:val="22"/>
          <w:szCs w:val="22"/>
        </w:rPr>
        <w:t xml:space="preserve"> </w:t>
      </w:r>
      <w:r w:rsidRPr="00B259F3">
        <w:rPr>
          <w:rFonts w:ascii="Times New Roman" w:hAnsi="Times New Roman"/>
          <w:sz w:val="22"/>
          <w:szCs w:val="22"/>
        </w:rPr>
        <w:t>le chef de l’unité</w:t>
      </w:r>
      <w:r w:rsidR="00B259F3" w:rsidRPr="00B259F3">
        <w:rPr>
          <w:rFonts w:ascii="Times New Roman" w:hAnsi="Times New Roman"/>
          <w:sz w:val="22"/>
          <w:szCs w:val="22"/>
        </w:rPr>
        <w:t xml:space="preserve"> « Affaires</w:t>
      </w:r>
      <w:r w:rsidRPr="00B259F3">
        <w:rPr>
          <w:rFonts w:ascii="Times New Roman" w:hAnsi="Times New Roman"/>
          <w:sz w:val="22"/>
          <w:szCs w:val="22"/>
        </w:rPr>
        <w:t xml:space="preserve"> </w:t>
      </w:r>
      <w:r w:rsidR="00B259F3" w:rsidRPr="00B259F3">
        <w:rPr>
          <w:rFonts w:ascii="Times New Roman" w:hAnsi="Times New Roman"/>
          <w:sz w:val="22"/>
          <w:szCs w:val="22"/>
        </w:rPr>
        <w:t>juridiques »</w:t>
      </w:r>
      <w:r w:rsidRPr="00B259F3">
        <w:rPr>
          <w:rFonts w:ascii="Times New Roman" w:hAnsi="Times New Roman"/>
          <w:sz w:val="22"/>
          <w:szCs w:val="22"/>
        </w:rPr>
        <w:t xml:space="preserve"> de la DG Partenariats internationaux.</w:t>
      </w:r>
    </w:p>
    <w:p w14:paraId="71DE77D6" w14:textId="77777777" w:rsidR="00A50D37" w:rsidRPr="00FC6A15" w:rsidRDefault="00A50D37" w:rsidP="00183955">
      <w:pPr>
        <w:tabs>
          <w:tab w:val="left" w:pos="567"/>
        </w:tabs>
        <w:ind w:left="567"/>
        <w:jc w:val="both"/>
        <w:rPr>
          <w:rFonts w:ascii="Times New Roman" w:hAnsi="Times New Roman"/>
          <w:sz w:val="22"/>
          <w:szCs w:val="22"/>
          <w:highlight w:val="lightGray"/>
        </w:rPr>
      </w:pPr>
      <w:r>
        <w:rPr>
          <w:rFonts w:ascii="Times New Roman" w:hAnsi="Times New Roman"/>
          <w:sz w:val="22"/>
          <w:szCs w:val="22"/>
        </w:rPr>
        <w:t>Des précisions quant au traitement de vos données à caractère personnel par la Commission sont disponibles dans la déclaration de confidentialité à l’adresse suivante:</w:t>
      </w:r>
    </w:p>
    <w:p w14:paraId="7EA84D77" w14:textId="17413E08" w:rsidR="00A50D37" w:rsidRPr="00FC6A15" w:rsidRDefault="00000000" w:rsidP="001A2BC4">
      <w:pPr>
        <w:tabs>
          <w:tab w:val="left" w:pos="567"/>
        </w:tabs>
        <w:ind w:left="567"/>
        <w:jc w:val="center"/>
        <w:rPr>
          <w:rFonts w:ascii="Times New Roman" w:hAnsi="Times New Roman"/>
          <w:sz w:val="22"/>
          <w:szCs w:val="22"/>
          <w:highlight w:val="lightGray"/>
        </w:rPr>
      </w:pPr>
      <w:hyperlink r:id="rId13" w:history="1">
        <w:r w:rsidR="001744F6">
          <w:rPr>
            <w:rStyle w:val="Lienhypertexte"/>
            <w:rFonts w:ascii="Times New Roman" w:hAnsi="Times New Roman"/>
            <w:sz w:val="22"/>
            <w:szCs w:val="22"/>
          </w:rPr>
          <w:t>https://wikis.ec.europa.eu/display/ExactExternalWikiFR/Annexes#Annexes-AnnexesA(Ch.2)</w:t>
        </w:r>
      </w:hyperlink>
    </w:p>
    <w:p w14:paraId="19B0D0D5" w14:textId="73ED3135" w:rsidR="00A50D37" w:rsidRPr="00FC6A15" w:rsidRDefault="00A50D37" w:rsidP="00183955">
      <w:pPr>
        <w:tabs>
          <w:tab w:val="left" w:pos="567"/>
        </w:tabs>
        <w:ind w:left="567"/>
        <w:jc w:val="both"/>
        <w:rPr>
          <w:rFonts w:ascii="Times New Roman" w:hAnsi="Times New Roman"/>
          <w:sz w:val="22"/>
          <w:szCs w:val="22"/>
        </w:rPr>
      </w:pPr>
      <w:r w:rsidRPr="00B259F3">
        <w:rPr>
          <w:rFonts w:ascii="Times New Roman" w:hAnsi="Times New Roman"/>
          <w:sz w:val="22"/>
          <w:szCs w:val="22"/>
        </w:rPr>
        <w:t>Lorsque des données à caractère personnel sont traitées dans le cadre d’une participation à un appel d’offres (par exemple, des CV d</w:t>
      </w:r>
      <w:r w:rsidR="00E160B3" w:rsidRPr="00B259F3">
        <w:rPr>
          <w:rFonts w:ascii="Times New Roman" w:hAnsi="Times New Roman"/>
          <w:sz w:val="22"/>
          <w:szCs w:val="22"/>
        </w:rPr>
        <w:t>’</w:t>
      </w:r>
      <w:r w:rsidRPr="00B259F3">
        <w:rPr>
          <w:rFonts w:ascii="Times New Roman" w:hAnsi="Times New Roman"/>
          <w:sz w:val="22"/>
          <w:szCs w:val="22"/>
        </w:rPr>
        <w:t>experts principaux ou d</w:t>
      </w:r>
      <w:r w:rsidR="00E160B3" w:rsidRPr="00B259F3">
        <w:rPr>
          <w:rFonts w:ascii="Times New Roman" w:hAnsi="Times New Roman"/>
          <w:sz w:val="22"/>
          <w:szCs w:val="22"/>
        </w:rPr>
        <w:t>’</w:t>
      </w:r>
      <w:r w:rsidRPr="00B259F3">
        <w:rPr>
          <w:rFonts w:ascii="Times New Roman" w:hAnsi="Times New Roman"/>
          <w:sz w:val="22"/>
          <w:szCs w:val="22"/>
        </w:rPr>
        <w:t xml:space="preserve">experts techniques) et/ou de l’exécution d’un marché (par exemple, le remplacement d’experts), il convient de dûment </w:t>
      </w:r>
      <w:r w:rsidRPr="00B259F3">
        <w:rPr>
          <w:rFonts w:ascii="Times New Roman" w:hAnsi="Times New Roman"/>
          <w:sz w:val="22"/>
          <w:szCs w:val="22"/>
        </w:rPr>
        <w:lastRenderedPageBreak/>
        <w:t>informer les personnes concernées d’une transmission possible de leurs données aux institutions et organismes de l’UE et de leur communiquer la déclaration de confidentialité mentionnée ci-dessus.</w:t>
      </w:r>
    </w:p>
    <w:p w14:paraId="2F4845EF" w14:textId="77777777" w:rsidR="0047783A" w:rsidRPr="001A2BC4" w:rsidRDefault="00EA1ADC" w:rsidP="009956B4">
      <w:pPr>
        <w:pStyle w:val="Titre1"/>
        <w:rPr>
          <w:bCs/>
          <w:sz w:val="22"/>
          <w:szCs w:val="22"/>
        </w:rPr>
      </w:pPr>
      <w:r>
        <w:t>28.</w:t>
      </w:r>
      <w:r>
        <w:tab/>
        <w:t>Système de détection rapide et d’exclusion</w:t>
      </w:r>
    </w:p>
    <w:p w14:paraId="02AFB167" w14:textId="1148BBAF" w:rsidR="00130EF1" w:rsidRDefault="0047783A" w:rsidP="00CC1A28">
      <w:pPr>
        <w:pStyle w:val="Corpsdetexte"/>
        <w:ind w:left="567"/>
        <w:jc w:val="both"/>
        <w:rPr>
          <w:rFonts w:ascii="Times New Roman" w:hAnsi="Times New Roman"/>
          <w:sz w:val="22"/>
          <w:szCs w:val="22"/>
        </w:rPr>
      </w:pPr>
      <w:r>
        <w:rPr>
          <w:rFonts w:ascii="Times New Roman" w:hAnsi="Times New Roman"/>
          <w:sz w:val="22"/>
          <w:szCs w:val="22"/>
        </w:rPr>
        <w:t>Les soumissionnaires et, s’il s’agit d’entités légales, les personnes ayant sur elles un pouvoir de représentation, de décision ou de contrôle, sont informés du fait que, s’ils se trouvent dans une des situations de détection rapide ou d’exclusion, leurs coordonnées (nom/dénomination, prénom si personne physique, adresse, forme juridique et nom et prénom des personnes ayant un pouvoir de représentation, de décision ou de contrôle, si personne morale) peuvent être enregistrées dans le système de détection rapide et d’exclusion et communiquées aux personnes et entités énumérées dans la décision précitée, dans le cadre de l’attribution ou de l’exécution d’un marché public.</w:t>
      </w:r>
    </w:p>
    <w:p w14:paraId="4A5EA8D1" w14:textId="77777777" w:rsidR="00A820FC" w:rsidRPr="00D621D6" w:rsidRDefault="00A820FC" w:rsidP="00662CB5">
      <w:pPr>
        <w:keepNext/>
        <w:spacing w:before="360" w:after="100" w:afterAutospacing="1"/>
        <w:jc w:val="both"/>
        <w:outlineLvl w:val="1"/>
        <w:rPr>
          <w:rFonts w:ascii="Times New Roman" w:hAnsi="Times New Roman"/>
          <w:sz w:val="22"/>
          <w:szCs w:val="22"/>
        </w:rPr>
      </w:pPr>
    </w:p>
    <w:sectPr w:rsidR="00A820FC" w:rsidRPr="00D621D6" w:rsidSect="00E62FBD">
      <w:footerReference w:type="even" r:id="rId14"/>
      <w:footerReference w:type="default" r:id="rId15"/>
      <w:footerReference w:type="first" r:id="rId16"/>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688D0" w14:textId="77777777" w:rsidR="002A1F61" w:rsidRPr="006A5F84" w:rsidRDefault="002A1F61">
      <w:r w:rsidRPr="006A5F84">
        <w:separator/>
      </w:r>
    </w:p>
  </w:endnote>
  <w:endnote w:type="continuationSeparator" w:id="0">
    <w:p w14:paraId="03703234" w14:textId="77777777" w:rsidR="002A1F61" w:rsidRPr="006A5F84" w:rsidRDefault="002A1F6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B4624E" w:rsidRDefault="00B4624E" w:rsidP="0047783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2</w:t>
    </w:r>
    <w:r>
      <w:rPr>
        <w:rStyle w:val="Numrodepage"/>
      </w:rPr>
      <w:fldChar w:fldCharType="end"/>
    </w:r>
  </w:p>
  <w:p w14:paraId="5D4E8170" w14:textId="77777777" w:rsidR="00B4624E" w:rsidRDefault="00B4624E" w:rsidP="0047783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676D751A" w:rsidR="00B4624E" w:rsidRPr="009423FB" w:rsidRDefault="00B728A2" w:rsidP="009423FB">
    <w:pPr>
      <w:pStyle w:val="Pieddepage"/>
      <w:tabs>
        <w:tab w:val="clear" w:pos="4320"/>
        <w:tab w:val="clear" w:pos="8640"/>
        <w:tab w:val="right" w:pos="8647"/>
      </w:tabs>
      <w:spacing w:after="0"/>
      <w:ind w:right="6"/>
      <w:rPr>
        <w:rStyle w:val="Numrodepage"/>
        <w:rFonts w:ascii="Times New Roman" w:hAnsi="Times New Roman"/>
        <w:sz w:val="18"/>
        <w:szCs w:val="18"/>
      </w:rPr>
    </w:pPr>
    <w:r>
      <w:rPr>
        <w:rFonts w:ascii="Times New Roman" w:hAnsi="Times New Roman"/>
        <w:b/>
        <w:sz w:val="18"/>
      </w:rPr>
      <w:t xml:space="preserve">Format : Version du PRAG </w:t>
    </w:r>
    <w:r w:rsidR="00B4624E">
      <w:rPr>
        <w:rFonts w:ascii="Times New Roman" w:hAnsi="Times New Roman"/>
        <w:b/>
        <w:sz w:val="18"/>
      </w:rPr>
      <w:t>2021.1</w:t>
    </w:r>
    <w:r w:rsidR="00B4624E">
      <w:rPr>
        <w:rFonts w:ascii="Times New Roman" w:hAnsi="Times New Roman"/>
        <w:sz w:val="18"/>
        <w:szCs w:val="18"/>
      </w:rPr>
      <w:tab/>
    </w:r>
    <w:r w:rsidR="00B4624E">
      <w:rPr>
        <w:rStyle w:val="Numrodepage"/>
        <w:rFonts w:ascii="Times New Roman" w:hAnsi="Times New Roman"/>
        <w:sz w:val="18"/>
        <w:szCs w:val="18"/>
      </w:rPr>
      <w:t>Page </w:t>
    </w:r>
    <w:r w:rsidR="00B4624E" w:rsidRPr="009423FB">
      <w:rPr>
        <w:rStyle w:val="Numrodepage"/>
        <w:rFonts w:ascii="Times New Roman" w:hAnsi="Times New Roman"/>
        <w:sz w:val="18"/>
        <w:szCs w:val="18"/>
      </w:rPr>
      <w:fldChar w:fldCharType="begin"/>
    </w:r>
    <w:r w:rsidR="00B4624E" w:rsidRPr="009423FB">
      <w:rPr>
        <w:rStyle w:val="Numrodepage"/>
        <w:rFonts w:ascii="Times New Roman" w:hAnsi="Times New Roman"/>
        <w:sz w:val="18"/>
        <w:szCs w:val="18"/>
      </w:rPr>
      <w:instrText xml:space="preserve"> PAGE </w:instrText>
    </w:r>
    <w:r w:rsidR="00B4624E" w:rsidRPr="009423FB">
      <w:rPr>
        <w:rStyle w:val="Numrodepage"/>
        <w:rFonts w:ascii="Times New Roman" w:hAnsi="Times New Roman"/>
        <w:sz w:val="18"/>
        <w:szCs w:val="18"/>
      </w:rPr>
      <w:fldChar w:fldCharType="separate"/>
    </w:r>
    <w:r w:rsidR="002737E7">
      <w:rPr>
        <w:rStyle w:val="Numrodepage"/>
        <w:rFonts w:ascii="Times New Roman" w:hAnsi="Times New Roman"/>
        <w:noProof/>
        <w:sz w:val="18"/>
        <w:szCs w:val="18"/>
      </w:rPr>
      <w:t>22</w:t>
    </w:r>
    <w:r w:rsidR="00B4624E" w:rsidRPr="009423FB">
      <w:rPr>
        <w:rStyle w:val="Numrodepage"/>
        <w:rFonts w:ascii="Times New Roman" w:hAnsi="Times New Roman"/>
        <w:sz w:val="18"/>
        <w:szCs w:val="18"/>
      </w:rPr>
      <w:fldChar w:fldCharType="end"/>
    </w:r>
    <w:r w:rsidR="00B4624E">
      <w:rPr>
        <w:rStyle w:val="Numrodepage"/>
        <w:rFonts w:ascii="Times New Roman" w:hAnsi="Times New Roman"/>
        <w:sz w:val="18"/>
        <w:szCs w:val="18"/>
      </w:rPr>
      <w:t xml:space="preserve"> sur </w:t>
    </w:r>
    <w:r w:rsidR="00B4624E" w:rsidRPr="009423FB">
      <w:rPr>
        <w:rStyle w:val="Numrodepage"/>
        <w:rFonts w:ascii="Times New Roman" w:hAnsi="Times New Roman"/>
        <w:sz w:val="18"/>
        <w:szCs w:val="18"/>
      </w:rPr>
      <w:fldChar w:fldCharType="begin"/>
    </w:r>
    <w:r w:rsidR="00B4624E" w:rsidRPr="009423FB">
      <w:rPr>
        <w:rStyle w:val="Numrodepage"/>
        <w:rFonts w:ascii="Times New Roman" w:hAnsi="Times New Roman"/>
        <w:sz w:val="18"/>
        <w:szCs w:val="18"/>
      </w:rPr>
      <w:instrText xml:space="preserve"> NUMPAGES </w:instrText>
    </w:r>
    <w:r w:rsidR="00B4624E" w:rsidRPr="009423FB">
      <w:rPr>
        <w:rStyle w:val="Numrodepage"/>
        <w:rFonts w:ascii="Times New Roman" w:hAnsi="Times New Roman"/>
        <w:sz w:val="18"/>
        <w:szCs w:val="18"/>
      </w:rPr>
      <w:fldChar w:fldCharType="separate"/>
    </w:r>
    <w:r w:rsidR="002737E7">
      <w:rPr>
        <w:rStyle w:val="Numrodepage"/>
        <w:rFonts w:ascii="Times New Roman" w:hAnsi="Times New Roman"/>
        <w:noProof/>
        <w:sz w:val="18"/>
        <w:szCs w:val="18"/>
      </w:rPr>
      <w:t>23</w:t>
    </w:r>
    <w:r w:rsidR="00B4624E" w:rsidRPr="009423FB">
      <w:rPr>
        <w:rStyle w:val="Numrodepage"/>
        <w:rFonts w:ascii="Times New Roman" w:hAnsi="Times New Roman"/>
        <w:sz w:val="18"/>
        <w:szCs w:val="18"/>
      </w:rPr>
      <w:fldChar w:fldCharType="end"/>
    </w:r>
  </w:p>
  <w:p w14:paraId="5D145687" w14:textId="5581BC35" w:rsidR="00B4624E" w:rsidRPr="009423FB" w:rsidRDefault="00B4624E"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c4b_itt_fr.docx</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B4624E" w:rsidRPr="006A5F84" w:rsidRDefault="00B4624E" w:rsidP="0047783A">
    <w:pPr>
      <w:pStyle w:val="Pieddepage"/>
      <w:framePr w:wrap="around" w:vAnchor="text" w:hAnchor="margin" w:xAlign="right" w:y="1"/>
      <w:rPr>
        <w:rStyle w:val="Numrodepage"/>
      </w:rPr>
    </w:pPr>
    <w:r w:rsidRPr="006A5F84">
      <w:rPr>
        <w:rStyle w:val="Numrodepage"/>
      </w:rPr>
      <w:fldChar w:fldCharType="begin"/>
    </w:r>
    <w:r w:rsidRPr="006A5F84">
      <w:rPr>
        <w:rStyle w:val="Numrodepage"/>
      </w:rPr>
      <w:instrText xml:space="preserve">PAGE  </w:instrText>
    </w:r>
    <w:r w:rsidRPr="006A5F84">
      <w:rPr>
        <w:rStyle w:val="Numrodepage"/>
      </w:rPr>
      <w:fldChar w:fldCharType="separate"/>
    </w:r>
    <w:r w:rsidRPr="006A5F84">
      <w:rPr>
        <w:rStyle w:val="Numrodepage"/>
      </w:rPr>
      <w:t>1</w:t>
    </w:r>
    <w:r w:rsidRPr="006A5F84">
      <w:rPr>
        <w:rStyle w:val="Numrodepage"/>
      </w:rPr>
      <w:fldChar w:fldCharType="end"/>
    </w:r>
  </w:p>
  <w:p w14:paraId="4B8E51A2" w14:textId="77777777" w:rsidR="00B4624E" w:rsidRPr="006A5F84" w:rsidRDefault="00B4624E" w:rsidP="0047783A">
    <w:pPr>
      <w:pStyle w:val="Pieddepage"/>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3E490" w14:textId="77777777" w:rsidR="002A1F61" w:rsidRPr="006A5F84" w:rsidRDefault="002A1F61">
      <w:r w:rsidRPr="006A5F84">
        <w:separator/>
      </w:r>
    </w:p>
  </w:footnote>
  <w:footnote w:type="continuationSeparator" w:id="0">
    <w:p w14:paraId="62A0B032" w14:textId="77777777" w:rsidR="002A1F61" w:rsidRPr="006A5F84" w:rsidRDefault="002A1F61">
      <w:r w:rsidRPr="006A5F84">
        <w:continuationSeparator/>
      </w:r>
    </w:p>
  </w:footnote>
  <w:footnote w:id="1">
    <w:p w14:paraId="775AE002" w14:textId="77777777" w:rsidR="004E477B" w:rsidRPr="00055202" w:rsidRDefault="004E477B" w:rsidP="004E477B">
      <w:pPr>
        <w:pStyle w:val="Notedebasdepage"/>
        <w:ind w:left="284" w:hanging="284"/>
        <w:jc w:val="both"/>
        <w:rPr>
          <w:lang w:val="fr-BE"/>
        </w:rPr>
      </w:pPr>
      <w:r>
        <w:rPr>
          <w:rStyle w:val="Appelnotedebasdep"/>
        </w:rPr>
        <w:footnoteRef/>
      </w:r>
      <w:r>
        <w:tab/>
      </w:r>
      <w:r w:rsidRPr="004624C1">
        <w:t>DDP (</w:t>
      </w:r>
      <w:proofErr w:type="spellStart"/>
      <w:r w:rsidRPr="004624C1">
        <w:t>Delivered</w:t>
      </w:r>
      <w:proofErr w:type="spellEnd"/>
      <w:r w:rsidRPr="004624C1">
        <w:t xml:space="preserve"> Duty </w:t>
      </w:r>
      <w:proofErr w:type="spellStart"/>
      <w:r w:rsidRPr="004624C1">
        <w:t>Paid</w:t>
      </w:r>
      <w:proofErr w:type="spellEnd"/>
      <w:r w:rsidRPr="004624C1">
        <w:t xml:space="preserve"> = Rendu droits acquittés)) — Incoterms 2010 Chambre Internationale de Commerce </w:t>
      </w:r>
      <w:hyperlink r:id="rId1">
        <w:r w:rsidRPr="004624C1">
          <w:rPr>
            <w:rStyle w:val="Lienhypertexte"/>
          </w:rPr>
          <w:t>http://www.iccwbo.org/products-and-services/trade-facilitation/incoterms-2010/the-incoterms-rules/</w:t>
        </w:r>
      </w:hyperlink>
      <w:r>
        <w:t>.</w:t>
      </w:r>
    </w:p>
  </w:footnote>
  <w:footnote w:id="2">
    <w:p w14:paraId="7C36EC89" w14:textId="77777777" w:rsidR="00B4624E" w:rsidRPr="00C348C0" w:rsidRDefault="00B4624E" w:rsidP="009956B4">
      <w:pPr>
        <w:pStyle w:val="Notedebasdepage"/>
        <w:spacing w:after="0"/>
        <w:jc w:val="both"/>
      </w:pPr>
      <w:r>
        <w:rPr>
          <w:rStyle w:val="Appelnotedebasdep"/>
        </w:rPr>
        <w:footnoteRef/>
      </w:r>
      <w:r>
        <w:t xml:space="preserve"> Voir la section 2.6.10.1.3 A du PRAG.</w:t>
      </w:r>
    </w:p>
  </w:footnote>
  <w:footnote w:id="3">
    <w:p w14:paraId="621D2B78" w14:textId="77777777" w:rsidR="00B4624E" w:rsidRPr="00C348C0" w:rsidRDefault="00B4624E" w:rsidP="009956B4">
      <w:pPr>
        <w:pStyle w:val="Notedebasdepage"/>
        <w:spacing w:after="0"/>
        <w:jc w:val="both"/>
      </w:pPr>
      <w:r>
        <w:rPr>
          <w:rStyle w:val="Appelnotedebasdep"/>
          <w:lang w:val="en-GB"/>
        </w:rPr>
        <w:footnoteRef/>
      </w:r>
      <w:r>
        <w:t xml:space="preserve"> La monnaie de l’offre est la monnaie du marché et la monnaie de paiement.</w:t>
      </w:r>
    </w:p>
  </w:footnote>
  <w:footnote w:id="4">
    <w:p w14:paraId="1419836C" w14:textId="77777777" w:rsidR="00B4624E" w:rsidRPr="00C348C0" w:rsidRDefault="00B4624E" w:rsidP="001A2BC4">
      <w:pPr>
        <w:pStyle w:val="Notedebasdepage"/>
        <w:spacing w:after="0"/>
        <w:jc w:val="both"/>
      </w:pPr>
      <w:r>
        <w:rPr>
          <w:rStyle w:val="Appelnotedebasdep"/>
        </w:rPr>
        <w:footnoteRef/>
      </w:r>
      <w:r>
        <w:t xml:space="preserve"> Il est conseillé de recourir à l’envoi recommandé, au cas où le cachet de la poste ne serait pas lisible.</w:t>
      </w:r>
    </w:p>
  </w:footnote>
  <w:footnote w:id="5">
    <w:p w14:paraId="0B25B166" w14:textId="023AB977" w:rsidR="0044090C" w:rsidRPr="00C348C0" w:rsidRDefault="00B4624E" w:rsidP="001A2BC4">
      <w:pPr>
        <w:pStyle w:val="Notedebasdepage"/>
        <w:spacing w:after="0"/>
        <w:jc w:val="both"/>
      </w:pPr>
      <w:r>
        <w:rPr>
          <w:rStyle w:val="Appelnotedebasdep"/>
          <w:lang w:val="en-GB"/>
        </w:rPr>
        <w:footnoteRef/>
      </w:r>
      <w:r>
        <w:t xml:space="preserve"> </w:t>
      </w:r>
      <w:r w:rsidRPr="00377E2C">
        <w:t>DDP (rendu droits acquittés) / DAP (rendu au lieu de destination)</w:t>
      </w:r>
      <w:r>
        <w:t xml:space="preserve"> — Incoterms 2020, Chambre internationale du commerce </w:t>
      </w:r>
      <w:hyperlink r:id="rId2" w:history="1">
        <w:r w:rsidR="0044090C" w:rsidRPr="0044090C">
          <w:rPr>
            <w:rStyle w:val="Lienhypertexte"/>
          </w:rPr>
          <w:t>http://www.iccwbo.org/incoterms/</w:t>
        </w:r>
      </w:hyperlink>
      <w:r w:rsidR="0044090C">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none"/>
      <w:pStyle w:val="Titre6"/>
      <w:lvlText w:val=""/>
      <w:lvlJc w:val="left"/>
      <w:pPr>
        <w:tabs>
          <w:tab w:val="num" w:pos="360"/>
        </w:tabs>
        <w:ind w:left="0" w:firstLine="0"/>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64073779">
    <w:abstractNumId w:val="12"/>
  </w:num>
  <w:num w:numId="2" w16cid:durableId="1415543931">
    <w:abstractNumId w:val="24"/>
  </w:num>
  <w:num w:numId="3" w16cid:durableId="2104258964">
    <w:abstractNumId w:val="11"/>
  </w:num>
  <w:num w:numId="4" w16cid:durableId="1500580554">
    <w:abstractNumId w:val="14"/>
  </w:num>
  <w:num w:numId="5" w16cid:durableId="11342665">
    <w:abstractNumId w:val="26"/>
  </w:num>
  <w:num w:numId="6" w16cid:durableId="1566258612">
    <w:abstractNumId w:val="10"/>
  </w:num>
  <w:num w:numId="7" w16cid:durableId="2051949257">
    <w:abstractNumId w:val="6"/>
  </w:num>
  <w:num w:numId="8" w16cid:durableId="1951470199">
    <w:abstractNumId w:val="2"/>
  </w:num>
  <w:num w:numId="9" w16cid:durableId="2130738078">
    <w:abstractNumId w:val="16"/>
  </w:num>
  <w:num w:numId="10" w16cid:durableId="269316027">
    <w:abstractNumId w:val="5"/>
  </w:num>
  <w:num w:numId="11" w16cid:durableId="50349132">
    <w:abstractNumId w:val="23"/>
  </w:num>
  <w:num w:numId="12" w16cid:durableId="1879049827">
    <w:abstractNumId w:val="13"/>
  </w:num>
  <w:num w:numId="13" w16cid:durableId="586160096">
    <w:abstractNumId w:val="8"/>
  </w:num>
  <w:num w:numId="14" w16cid:durableId="584067930">
    <w:abstractNumId w:val="21"/>
  </w:num>
  <w:num w:numId="15" w16cid:durableId="707149972">
    <w:abstractNumId w:val="22"/>
  </w:num>
  <w:num w:numId="16" w16cid:durableId="1526477794">
    <w:abstractNumId w:val="9"/>
  </w:num>
  <w:num w:numId="17" w16cid:durableId="1043865605">
    <w:abstractNumId w:val="17"/>
  </w:num>
  <w:num w:numId="18" w16cid:durableId="100613600">
    <w:abstractNumId w:val="12"/>
  </w:num>
  <w:num w:numId="19" w16cid:durableId="538663950">
    <w:abstractNumId w:val="12"/>
  </w:num>
  <w:num w:numId="20" w16cid:durableId="630945095">
    <w:abstractNumId w:val="28"/>
  </w:num>
  <w:num w:numId="21" w16cid:durableId="976229341">
    <w:abstractNumId w:val="19"/>
  </w:num>
  <w:num w:numId="22" w16cid:durableId="1988508801">
    <w:abstractNumId w:val="18"/>
  </w:num>
  <w:num w:numId="23" w16cid:durableId="2043939262">
    <w:abstractNumId w:val="3"/>
  </w:num>
  <w:num w:numId="24" w16cid:durableId="1558514722">
    <w:abstractNumId w:val="12"/>
  </w:num>
  <w:num w:numId="25" w16cid:durableId="592663889">
    <w:abstractNumId w:val="12"/>
  </w:num>
  <w:num w:numId="26" w16cid:durableId="7525100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20818852">
    <w:abstractNumId w:val="1"/>
  </w:num>
  <w:num w:numId="28" w16cid:durableId="315845884">
    <w:abstractNumId w:val="4"/>
  </w:num>
  <w:num w:numId="29" w16cid:durableId="1522208019">
    <w:abstractNumId w:val="27"/>
  </w:num>
  <w:num w:numId="30" w16cid:durableId="206528221">
    <w:abstractNumId w:val="24"/>
    <w:lvlOverride w:ilvl="0">
      <w:startOverride w:val="20"/>
    </w:lvlOverride>
    <w:lvlOverride w:ilvl="1">
      <w:startOverride w:val="7"/>
    </w:lvlOverride>
  </w:num>
  <w:num w:numId="31" w16cid:durableId="12399041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74875862">
    <w:abstractNumId w:val="20"/>
  </w:num>
  <w:num w:numId="33" w16cid:durableId="835995354">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fr-FR" w:vendorID="64" w:dllVersion="6" w:nlCheck="1" w:checkStyle="0"/>
  <w:activeWritingStyle w:appName="MSWord" w:lang="fr-FR" w:vendorID="64" w:dllVersion="4096" w:nlCheck="1" w:checkStyle="0"/>
  <w:activeWritingStyle w:appName="MSWord" w:lang="fr-BE" w:vendorID="64" w:dllVersion="4096" w:nlCheck="1" w:checkStyle="0"/>
  <w:activeWritingStyle w:appName="MSWord" w:lang="en-GB"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0B5"/>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5D57"/>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57DEF"/>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2A2F"/>
    <w:rsid w:val="001D339B"/>
    <w:rsid w:val="001D4292"/>
    <w:rsid w:val="001D51F8"/>
    <w:rsid w:val="001E0113"/>
    <w:rsid w:val="001E377F"/>
    <w:rsid w:val="001E4648"/>
    <w:rsid w:val="001F0DE5"/>
    <w:rsid w:val="001F1580"/>
    <w:rsid w:val="001F410B"/>
    <w:rsid w:val="001F5421"/>
    <w:rsid w:val="001F7658"/>
    <w:rsid w:val="002001DB"/>
    <w:rsid w:val="002012E1"/>
    <w:rsid w:val="00201CF7"/>
    <w:rsid w:val="00203E3D"/>
    <w:rsid w:val="0020506A"/>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303E"/>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737E7"/>
    <w:rsid w:val="0028364A"/>
    <w:rsid w:val="00290561"/>
    <w:rsid w:val="00294190"/>
    <w:rsid w:val="002A0041"/>
    <w:rsid w:val="002A1860"/>
    <w:rsid w:val="002A1F61"/>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363FD"/>
    <w:rsid w:val="0033743D"/>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77E2C"/>
    <w:rsid w:val="00384ABB"/>
    <w:rsid w:val="00384BAB"/>
    <w:rsid w:val="00385FFC"/>
    <w:rsid w:val="00386409"/>
    <w:rsid w:val="00387C56"/>
    <w:rsid w:val="003902B3"/>
    <w:rsid w:val="00391D90"/>
    <w:rsid w:val="003925E9"/>
    <w:rsid w:val="00392A7E"/>
    <w:rsid w:val="003937BC"/>
    <w:rsid w:val="00394E9F"/>
    <w:rsid w:val="0039749C"/>
    <w:rsid w:val="003A02A1"/>
    <w:rsid w:val="003A474A"/>
    <w:rsid w:val="003A520A"/>
    <w:rsid w:val="003B1AB7"/>
    <w:rsid w:val="003B3C9C"/>
    <w:rsid w:val="003B48B4"/>
    <w:rsid w:val="003C0747"/>
    <w:rsid w:val="003C6C9C"/>
    <w:rsid w:val="003C7266"/>
    <w:rsid w:val="003D2078"/>
    <w:rsid w:val="003D3CAA"/>
    <w:rsid w:val="003D4CB4"/>
    <w:rsid w:val="003D7011"/>
    <w:rsid w:val="003D7611"/>
    <w:rsid w:val="003E4DCA"/>
    <w:rsid w:val="003E6A96"/>
    <w:rsid w:val="003E7C71"/>
    <w:rsid w:val="003F0713"/>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20666"/>
    <w:rsid w:val="00421363"/>
    <w:rsid w:val="0042695A"/>
    <w:rsid w:val="004272A7"/>
    <w:rsid w:val="004300D4"/>
    <w:rsid w:val="004316F0"/>
    <w:rsid w:val="004365AD"/>
    <w:rsid w:val="0044090C"/>
    <w:rsid w:val="00442FF2"/>
    <w:rsid w:val="004434F8"/>
    <w:rsid w:val="0045310F"/>
    <w:rsid w:val="00453BD6"/>
    <w:rsid w:val="004554CB"/>
    <w:rsid w:val="00456FAE"/>
    <w:rsid w:val="004607CD"/>
    <w:rsid w:val="0046122C"/>
    <w:rsid w:val="00461AB4"/>
    <w:rsid w:val="00463F73"/>
    <w:rsid w:val="004670EA"/>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111F"/>
    <w:rsid w:val="004D20F9"/>
    <w:rsid w:val="004D2FD8"/>
    <w:rsid w:val="004D6D1E"/>
    <w:rsid w:val="004D72C2"/>
    <w:rsid w:val="004D7ED4"/>
    <w:rsid w:val="004E16BB"/>
    <w:rsid w:val="004E477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1C3D"/>
    <w:rsid w:val="00542E0F"/>
    <w:rsid w:val="00545957"/>
    <w:rsid w:val="00552278"/>
    <w:rsid w:val="00555BFC"/>
    <w:rsid w:val="00556923"/>
    <w:rsid w:val="005634B2"/>
    <w:rsid w:val="00570282"/>
    <w:rsid w:val="005754BB"/>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42AE"/>
    <w:rsid w:val="00625741"/>
    <w:rsid w:val="006311FE"/>
    <w:rsid w:val="00633829"/>
    <w:rsid w:val="00633D3A"/>
    <w:rsid w:val="00633E6D"/>
    <w:rsid w:val="00636E8F"/>
    <w:rsid w:val="0063744A"/>
    <w:rsid w:val="00637D16"/>
    <w:rsid w:val="006408AC"/>
    <w:rsid w:val="00640D24"/>
    <w:rsid w:val="00640E38"/>
    <w:rsid w:val="00642636"/>
    <w:rsid w:val="00644483"/>
    <w:rsid w:val="0065117A"/>
    <w:rsid w:val="00651BD8"/>
    <w:rsid w:val="00652618"/>
    <w:rsid w:val="006532E3"/>
    <w:rsid w:val="0065398D"/>
    <w:rsid w:val="00654F04"/>
    <w:rsid w:val="0066145D"/>
    <w:rsid w:val="00661B3C"/>
    <w:rsid w:val="00662CB5"/>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04B5"/>
    <w:rsid w:val="00723C11"/>
    <w:rsid w:val="00724D0C"/>
    <w:rsid w:val="007253FF"/>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97841"/>
    <w:rsid w:val="007A0045"/>
    <w:rsid w:val="007A0144"/>
    <w:rsid w:val="007A01BB"/>
    <w:rsid w:val="007A0C47"/>
    <w:rsid w:val="007B15A3"/>
    <w:rsid w:val="007B222F"/>
    <w:rsid w:val="007B65DB"/>
    <w:rsid w:val="007C0BDD"/>
    <w:rsid w:val="007C1656"/>
    <w:rsid w:val="007C6835"/>
    <w:rsid w:val="007C75E0"/>
    <w:rsid w:val="007D02BE"/>
    <w:rsid w:val="007D5FA2"/>
    <w:rsid w:val="007E0CD5"/>
    <w:rsid w:val="007E122E"/>
    <w:rsid w:val="007E3D5F"/>
    <w:rsid w:val="007E597D"/>
    <w:rsid w:val="007E64C1"/>
    <w:rsid w:val="007F634B"/>
    <w:rsid w:val="007F661B"/>
    <w:rsid w:val="007F6802"/>
    <w:rsid w:val="007F6C34"/>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3E1"/>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2B3A"/>
    <w:rsid w:val="008E40E2"/>
    <w:rsid w:val="008E6D20"/>
    <w:rsid w:val="008E7470"/>
    <w:rsid w:val="008E7587"/>
    <w:rsid w:val="008F2E42"/>
    <w:rsid w:val="008F3866"/>
    <w:rsid w:val="008F3B55"/>
    <w:rsid w:val="008F3D27"/>
    <w:rsid w:val="009018A4"/>
    <w:rsid w:val="009030B0"/>
    <w:rsid w:val="00905848"/>
    <w:rsid w:val="009143FD"/>
    <w:rsid w:val="00917D02"/>
    <w:rsid w:val="00920A51"/>
    <w:rsid w:val="00920DBC"/>
    <w:rsid w:val="00922542"/>
    <w:rsid w:val="009251E3"/>
    <w:rsid w:val="0093582A"/>
    <w:rsid w:val="009423FB"/>
    <w:rsid w:val="0094670B"/>
    <w:rsid w:val="00947FC3"/>
    <w:rsid w:val="00950813"/>
    <w:rsid w:val="009514EC"/>
    <w:rsid w:val="00960E69"/>
    <w:rsid w:val="00961615"/>
    <w:rsid w:val="00980A42"/>
    <w:rsid w:val="00985BEF"/>
    <w:rsid w:val="00986D62"/>
    <w:rsid w:val="00990FF8"/>
    <w:rsid w:val="00992A1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2DB9"/>
    <w:rsid w:val="009F3126"/>
    <w:rsid w:val="00A039CA"/>
    <w:rsid w:val="00A04FBF"/>
    <w:rsid w:val="00A05DCA"/>
    <w:rsid w:val="00A068EC"/>
    <w:rsid w:val="00A10D10"/>
    <w:rsid w:val="00A11437"/>
    <w:rsid w:val="00A11F12"/>
    <w:rsid w:val="00A139A6"/>
    <w:rsid w:val="00A14F76"/>
    <w:rsid w:val="00A1746F"/>
    <w:rsid w:val="00A2696E"/>
    <w:rsid w:val="00A2701B"/>
    <w:rsid w:val="00A362EA"/>
    <w:rsid w:val="00A4194A"/>
    <w:rsid w:val="00A42161"/>
    <w:rsid w:val="00A4424B"/>
    <w:rsid w:val="00A465E3"/>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195F"/>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59F3"/>
    <w:rsid w:val="00B277E4"/>
    <w:rsid w:val="00B30528"/>
    <w:rsid w:val="00B3168E"/>
    <w:rsid w:val="00B3411B"/>
    <w:rsid w:val="00B35051"/>
    <w:rsid w:val="00B4108F"/>
    <w:rsid w:val="00B443C3"/>
    <w:rsid w:val="00B4454C"/>
    <w:rsid w:val="00B44B08"/>
    <w:rsid w:val="00B44DC5"/>
    <w:rsid w:val="00B4624E"/>
    <w:rsid w:val="00B4644C"/>
    <w:rsid w:val="00B4772C"/>
    <w:rsid w:val="00B50CF5"/>
    <w:rsid w:val="00B51209"/>
    <w:rsid w:val="00B525A7"/>
    <w:rsid w:val="00B54093"/>
    <w:rsid w:val="00B569B1"/>
    <w:rsid w:val="00B60082"/>
    <w:rsid w:val="00B61CED"/>
    <w:rsid w:val="00B63280"/>
    <w:rsid w:val="00B6700D"/>
    <w:rsid w:val="00B70C0E"/>
    <w:rsid w:val="00B728A2"/>
    <w:rsid w:val="00B7329A"/>
    <w:rsid w:val="00B76124"/>
    <w:rsid w:val="00B80DE8"/>
    <w:rsid w:val="00B8161D"/>
    <w:rsid w:val="00B84EBC"/>
    <w:rsid w:val="00B86755"/>
    <w:rsid w:val="00B90C14"/>
    <w:rsid w:val="00B93930"/>
    <w:rsid w:val="00B93A22"/>
    <w:rsid w:val="00B965CD"/>
    <w:rsid w:val="00B9691D"/>
    <w:rsid w:val="00B96E4B"/>
    <w:rsid w:val="00B96F5E"/>
    <w:rsid w:val="00BA204C"/>
    <w:rsid w:val="00BA2D4C"/>
    <w:rsid w:val="00BA70CB"/>
    <w:rsid w:val="00BB2075"/>
    <w:rsid w:val="00BB2CCE"/>
    <w:rsid w:val="00BB51C8"/>
    <w:rsid w:val="00BB56D3"/>
    <w:rsid w:val="00BB65D4"/>
    <w:rsid w:val="00BB6CB4"/>
    <w:rsid w:val="00BC075E"/>
    <w:rsid w:val="00BC112C"/>
    <w:rsid w:val="00BC12DC"/>
    <w:rsid w:val="00BC163B"/>
    <w:rsid w:val="00BC2D2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6C60"/>
    <w:rsid w:val="00C87F4C"/>
    <w:rsid w:val="00C92434"/>
    <w:rsid w:val="00C976DE"/>
    <w:rsid w:val="00C979CE"/>
    <w:rsid w:val="00CA1354"/>
    <w:rsid w:val="00CA618A"/>
    <w:rsid w:val="00CA6C68"/>
    <w:rsid w:val="00CA7FAB"/>
    <w:rsid w:val="00CB3E27"/>
    <w:rsid w:val="00CB4E1D"/>
    <w:rsid w:val="00CC1A28"/>
    <w:rsid w:val="00CC6A3F"/>
    <w:rsid w:val="00CC7DE2"/>
    <w:rsid w:val="00CD5AC8"/>
    <w:rsid w:val="00CD7F25"/>
    <w:rsid w:val="00CE16A1"/>
    <w:rsid w:val="00CE4FDE"/>
    <w:rsid w:val="00CE7C00"/>
    <w:rsid w:val="00CF2D8C"/>
    <w:rsid w:val="00CF2DE2"/>
    <w:rsid w:val="00CF30C4"/>
    <w:rsid w:val="00CF48EA"/>
    <w:rsid w:val="00CF63C2"/>
    <w:rsid w:val="00CF6CFA"/>
    <w:rsid w:val="00D00E91"/>
    <w:rsid w:val="00D02E23"/>
    <w:rsid w:val="00D03108"/>
    <w:rsid w:val="00D04484"/>
    <w:rsid w:val="00D07A31"/>
    <w:rsid w:val="00D1398A"/>
    <w:rsid w:val="00D14CAF"/>
    <w:rsid w:val="00D16ADA"/>
    <w:rsid w:val="00D17EE8"/>
    <w:rsid w:val="00D21056"/>
    <w:rsid w:val="00D243E7"/>
    <w:rsid w:val="00D24469"/>
    <w:rsid w:val="00D24893"/>
    <w:rsid w:val="00D312D2"/>
    <w:rsid w:val="00D33BE3"/>
    <w:rsid w:val="00D37E3E"/>
    <w:rsid w:val="00D43612"/>
    <w:rsid w:val="00D44362"/>
    <w:rsid w:val="00D44D96"/>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2858"/>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0B3"/>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2FBD"/>
    <w:rsid w:val="00E637DD"/>
    <w:rsid w:val="00E65BB2"/>
    <w:rsid w:val="00E65C48"/>
    <w:rsid w:val="00E66FD7"/>
    <w:rsid w:val="00E71C9B"/>
    <w:rsid w:val="00E72143"/>
    <w:rsid w:val="00E730A5"/>
    <w:rsid w:val="00E75503"/>
    <w:rsid w:val="00E80269"/>
    <w:rsid w:val="00E811F3"/>
    <w:rsid w:val="00E82463"/>
    <w:rsid w:val="00E84351"/>
    <w:rsid w:val="00E84F50"/>
    <w:rsid w:val="00E85F91"/>
    <w:rsid w:val="00E90392"/>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219D"/>
    <w:rsid w:val="00ED3206"/>
    <w:rsid w:val="00EE0ED9"/>
    <w:rsid w:val="00EE109E"/>
    <w:rsid w:val="00EE23B1"/>
    <w:rsid w:val="00EE2E55"/>
    <w:rsid w:val="00EE3188"/>
    <w:rsid w:val="00EE382A"/>
    <w:rsid w:val="00EE3EB0"/>
    <w:rsid w:val="00EE6BC0"/>
    <w:rsid w:val="00EF1C05"/>
    <w:rsid w:val="00EF2700"/>
    <w:rsid w:val="00EF3951"/>
    <w:rsid w:val="00EF6426"/>
    <w:rsid w:val="00F00407"/>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71A"/>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847"/>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1A1"/>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Titre1">
    <w:name w:val="heading 1"/>
    <w:basedOn w:val="Normal"/>
    <w:next w:val="Normal"/>
    <w:link w:val="Titre1Car"/>
    <w:autoRedefine/>
    <w:qFormat/>
    <w:rsid w:val="009956B4"/>
    <w:pPr>
      <w:keepNext/>
      <w:spacing w:before="240" w:after="240"/>
      <w:ind w:left="567" w:hanging="567"/>
      <w:jc w:val="both"/>
      <w:outlineLvl w:val="0"/>
    </w:pPr>
    <w:rPr>
      <w:rFonts w:ascii="Times New Roman" w:hAnsi="Times New Roman"/>
      <w:b/>
      <w:sz w:val="28"/>
    </w:rPr>
  </w:style>
  <w:style w:type="paragraph" w:styleId="Titre2">
    <w:name w:val="heading 2"/>
    <w:basedOn w:val="Normal"/>
    <w:next w:val="Normal"/>
    <w:link w:val="Titre2Car"/>
    <w:qFormat/>
    <w:pPr>
      <w:keepNext/>
      <w:outlineLvl w:val="1"/>
    </w:pPr>
  </w:style>
  <w:style w:type="paragraph" w:styleId="Titre3">
    <w:name w:val="heading 3"/>
    <w:basedOn w:val="Normal"/>
    <w:next w:val="Normal"/>
    <w:link w:val="Titre3Car"/>
    <w:qFormat/>
    <w:pPr>
      <w:keepNext/>
      <w:framePr w:hSpace="181" w:vSpace="181" w:wrap="auto" w:vAnchor="text" w:hAnchor="text" w:y="1"/>
      <w:outlineLvl w:val="2"/>
    </w:pPr>
  </w:style>
  <w:style w:type="paragraph" w:styleId="Titre4">
    <w:name w:val="heading 4"/>
    <w:basedOn w:val="Normal"/>
    <w:next w:val="Normal"/>
    <w:link w:val="Titre4Car"/>
    <w:qFormat/>
    <w:pPr>
      <w:keepNext/>
      <w:numPr>
        <w:ilvl w:val="3"/>
        <w:numId w:val="2"/>
      </w:numPr>
      <w:spacing w:before="240" w:after="60"/>
      <w:outlineLvl w:val="3"/>
    </w:pPr>
    <w:rPr>
      <w:b/>
      <w:sz w:val="24"/>
    </w:rPr>
  </w:style>
  <w:style w:type="paragraph" w:styleId="Titre5">
    <w:name w:val="heading 5"/>
    <w:basedOn w:val="Normal"/>
    <w:next w:val="Normal"/>
    <w:link w:val="Titre5Car"/>
    <w:qFormat/>
    <w:pPr>
      <w:numPr>
        <w:ilvl w:val="4"/>
        <w:numId w:val="2"/>
      </w:numPr>
      <w:spacing w:before="240" w:after="60"/>
      <w:outlineLvl w:val="4"/>
    </w:pPr>
    <w:rPr>
      <w:sz w:val="22"/>
    </w:rPr>
  </w:style>
  <w:style w:type="paragraph" w:styleId="Titre6">
    <w:name w:val="heading 6"/>
    <w:basedOn w:val="Normal"/>
    <w:next w:val="Normal"/>
    <w:link w:val="Titre6Car"/>
    <w:qFormat/>
    <w:pPr>
      <w:numPr>
        <w:ilvl w:val="5"/>
        <w:numId w:val="2"/>
      </w:numPr>
      <w:tabs>
        <w:tab w:val="clear" w:pos="360"/>
        <w:tab w:val="num" w:pos="1152"/>
      </w:tabs>
      <w:spacing w:before="240" w:after="60"/>
      <w:ind w:left="1152" w:hanging="1152"/>
      <w:outlineLvl w:val="5"/>
    </w:pPr>
    <w:rPr>
      <w:i/>
      <w:sz w:val="22"/>
    </w:rPr>
  </w:style>
  <w:style w:type="paragraph" w:styleId="Titre7">
    <w:name w:val="heading 7"/>
    <w:basedOn w:val="Normal"/>
    <w:next w:val="Normal"/>
    <w:link w:val="Titre7Car"/>
    <w:qFormat/>
    <w:pPr>
      <w:numPr>
        <w:ilvl w:val="6"/>
        <w:numId w:val="2"/>
      </w:numPr>
      <w:spacing w:before="240" w:after="60"/>
      <w:outlineLvl w:val="6"/>
    </w:pPr>
  </w:style>
  <w:style w:type="paragraph" w:styleId="Titre8">
    <w:name w:val="heading 8"/>
    <w:basedOn w:val="Normal"/>
    <w:next w:val="Normal"/>
    <w:link w:val="Titre8Car"/>
    <w:qFormat/>
    <w:pPr>
      <w:numPr>
        <w:ilvl w:val="7"/>
        <w:numId w:val="2"/>
      </w:numPr>
      <w:spacing w:before="240" w:after="60"/>
      <w:outlineLvl w:val="7"/>
    </w:pPr>
    <w:rPr>
      <w:i/>
    </w:rPr>
  </w:style>
  <w:style w:type="paragraph" w:styleId="Titre9">
    <w:name w:val="heading 9"/>
    <w:basedOn w:val="Normal"/>
    <w:next w:val="Normal"/>
    <w:link w:val="Titre9Car"/>
    <w:qFormat/>
    <w:pPr>
      <w:numPr>
        <w:ilvl w:val="8"/>
        <w:numId w:val="2"/>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pPr>
      <w:jc w:val="center"/>
    </w:pPr>
    <w:rPr>
      <w:b/>
      <w:sz w:val="28"/>
    </w:rPr>
  </w:style>
  <w:style w:type="paragraph" w:styleId="Sous-titre">
    <w:name w:val="Subtitle"/>
    <w:basedOn w:val="Normal"/>
    <w:link w:val="Sous-titreCar"/>
    <w:qFormat/>
    <w:pPr>
      <w:jc w:val="center"/>
    </w:pPr>
    <w:rPr>
      <w:b/>
      <w:sz w:val="28"/>
    </w:rPr>
  </w:style>
  <w:style w:type="paragraph" w:styleId="Retraitcorpsdetexte">
    <w:name w:val="Body Text Indent"/>
    <w:basedOn w:val="Normal"/>
    <w:link w:val="RetraitcorpsdetexteCar"/>
    <w:pPr>
      <w:tabs>
        <w:tab w:val="num" w:pos="567"/>
      </w:tabs>
      <w:spacing w:before="0" w:after="0"/>
      <w:jc w:val="both"/>
    </w:pPr>
    <w:rPr>
      <w:rFonts w:ascii="Times New Roman" w:hAnsi="Times New Roman"/>
      <w:sz w:val="24"/>
    </w:rPr>
  </w:style>
  <w:style w:type="paragraph" w:styleId="Corpsdetexte">
    <w:name w:val="Body Text"/>
    <w:basedOn w:val="Normal"/>
    <w:link w:val="CorpsdetexteCar"/>
  </w:style>
  <w:style w:type="paragraph" w:styleId="Retraitcorpsdetexte2">
    <w:name w:val="Body Text Indent 2"/>
    <w:basedOn w:val="Normal"/>
    <w:link w:val="Retraitcorpsdetexte2Car"/>
    <w:pPr>
      <w:tabs>
        <w:tab w:val="num" w:pos="567"/>
        <w:tab w:val="num" w:pos="2160"/>
      </w:tabs>
      <w:spacing w:after="240"/>
      <w:ind w:left="567" w:hanging="567"/>
      <w:jc w:val="both"/>
    </w:pPr>
    <w:rPr>
      <w:sz w:val="24"/>
      <w:u w:val="single"/>
    </w:rPr>
  </w:style>
  <w:style w:type="paragraph" w:styleId="Retraitcorpsdetexte3">
    <w:name w:val="Body Text Indent 3"/>
    <w:basedOn w:val="Normal"/>
    <w:link w:val="Retraitcorpsdetexte3C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En-tte">
    <w:name w:val="header"/>
    <w:basedOn w:val="Normal"/>
    <w:link w:val="En-tteCar"/>
    <w:pPr>
      <w:tabs>
        <w:tab w:val="center" w:pos="4320"/>
        <w:tab w:val="right" w:pos="8640"/>
      </w:tabs>
    </w:pPr>
  </w:style>
  <w:style w:type="paragraph" w:styleId="Pieddepage">
    <w:name w:val="footer"/>
    <w:basedOn w:val="Normal"/>
    <w:link w:val="PieddepageCar"/>
    <w:pPr>
      <w:tabs>
        <w:tab w:val="center" w:pos="4320"/>
        <w:tab w:val="right" w:pos="8640"/>
      </w:tabs>
    </w:pPr>
  </w:style>
  <w:style w:type="character" w:styleId="Numrodepage">
    <w:name w:val="page number"/>
    <w:basedOn w:val="Policepardfaut"/>
  </w:style>
  <w:style w:type="paragraph" w:styleId="Corpsdetexte3">
    <w:name w:val="Body Text 3"/>
    <w:basedOn w:val="Normal"/>
    <w:link w:val="Corpsdetexte3C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Lienhypertexte">
    <w:name w:val="Hyperlink"/>
    <w:rPr>
      <w:color w:val="0000FF"/>
      <w:u w:val="single"/>
    </w:r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
    <w:basedOn w:val="Normal"/>
    <w:link w:val="NotedebasdepageCar"/>
    <w:autoRedefine/>
    <w:uiPriority w:val="99"/>
    <w:qFormat/>
    <w:rsid w:val="00EB295F"/>
    <w:pPr>
      <w:spacing w:before="0"/>
    </w:pPr>
    <w:rPr>
      <w:rFonts w:ascii="Times New Roman" w:hAnsi="Times New Roman"/>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uiPriority w:val="99"/>
    <w:qFormat/>
    <w:rPr>
      <w:vertAlign w:val="superscript"/>
    </w:rPr>
  </w:style>
  <w:style w:type="paragraph" w:styleId="Explorateurdedocuments">
    <w:name w:val="Document Map"/>
    <w:basedOn w:val="Normal"/>
    <w:link w:val="ExplorateurdedocumentsCar"/>
    <w:semiHidden/>
    <w:pPr>
      <w:shd w:val="clear" w:color="auto" w:fill="000080"/>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Titre1"/>
    <w:next w:val="Normal"/>
    <w:autoRedefine/>
    <w:pPr>
      <w:keepNext w:val="0"/>
      <w:pageBreakBefore/>
      <w:tabs>
        <w:tab w:val="left" w:pos="567"/>
        <w:tab w:val="left" w:pos="2552"/>
        <w:tab w:val="left" w:pos="7938"/>
        <w:tab w:val="left" w:pos="9072"/>
      </w:tabs>
      <w:spacing w:before="0" w:after="0"/>
      <w:ind w:left="0" w:firstLine="0"/>
      <w:jc w:val="left"/>
      <w:outlineLvl w:val="9"/>
    </w:pPr>
    <w:rPr>
      <w:caps/>
    </w:rPr>
  </w:style>
  <w:style w:type="paragraph" w:customStyle="1" w:styleId="Style1">
    <w:name w:val="Style1"/>
    <w:basedOn w:val="Normal"/>
    <w:pPr>
      <w:keepNext/>
      <w:widowControl w:val="0"/>
      <w:tabs>
        <w:tab w:val="num" w:pos="992"/>
      </w:tabs>
      <w:ind w:left="992" w:hanging="992"/>
    </w:pPr>
    <w:rPr>
      <w:b/>
      <w:sz w:val="18"/>
    </w:rPr>
  </w:style>
  <w:style w:type="paragraph" w:customStyle="1" w:styleId="titlefront">
    <w:name w:val="title_front"/>
    <w:basedOn w:val="Normal"/>
    <w:pPr>
      <w:spacing w:before="240"/>
      <w:ind w:left="1701"/>
      <w:jc w:val="right"/>
    </w:pPr>
    <w:rPr>
      <w:rFonts w:ascii="Optima" w:hAnsi="Optima"/>
      <w:b/>
      <w:sz w:val="28"/>
    </w:rPr>
  </w:style>
  <w:style w:type="paragraph" w:styleId="TM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M2">
    <w:name w:val="toc 2"/>
    <w:basedOn w:val="Normal"/>
    <w:next w:val="Normal"/>
    <w:autoRedefine/>
    <w:semiHidden/>
    <w:pPr>
      <w:spacing w:before="0" w:after="0"/>
      <w:ind w:left="200"/>
    </w:pPr>
    <w:rPr>
      <w:rFonts w:ascii="Times New Roman" w:hAnsi="Times New Roman"/>
      <w:smallCaps/>
    </w:rPr>
  </w:style>
  <w:style w:type="character" w:styleId="lev">
    <w:name w:val="Strong"/>
    <w:qFormat/>
    <w:rPr>
      <w:b/>
    </w:rPr>
  </w:style>
  <w:style w:type="paragraph" w:customStyle="1" w:styleId="Blockquote">
    <w:name w:val="Blockquote"/>
    <w:basedOn w:val="Normal"/>
    <w:pPr>
      <w:widowControl w:val="0"/>
      <w:spacing w:before="100" w:after="100"/>
      <w:ind w:left="360" w:right="360"/>
    </w:pPr>
    <w:rPr>
      <w:sz w:val="24"/>
    </w:rPr>
  </w:style>
  <w:style w:type="paragraph" w:styleId="TM3">
    <w:name w:val="toc 3"/>
    <w:basedOn w:val="Normal"/>
    <w:next w:val="Normal"/>
    <w:autoRedefine/>
    <w:semiHidden/>
    <w:pPr>
      <w:spacing w:before="0" w:after="0"/>
      <w:ind w:left="400"/>
    </w:pPr>
    <w:rPr>
      <w:rFonts w:ascii="Times New Roman" w:hAnsi="Times New Roman"/>
      <w:i/>
    </w:rPr>
  </w:style>
  <w:style w:type="paragraph" w:styleId="TM4">
    <w:name w:val="toc 4"/>
    <w:basedOn w:val="Normal"/>
    <w:next w:val="Normal"/>
    <w:autoRedefine/>
    <w:semiHidden/>
    <w:pPr>
      <w:spacing w:before="0" w:after="0"/>
      <w:ind w:left="600"/>
    </w:pPr>
    <w:rPr>
      <w:rFonts w:ascii="Times New Roman" w:hAnsi="Times New Roman"/>
      <w:sz w:val="18"/>
    </w:rPr>
  </w:style>
  <w:style w:type="paragraph" w:styleId="TM5">
    <w:name w:val="toc 5"/>
    <w:basedOn w:val="Normal"/>
    <w:next w:val="Normal"/>
    <w:autoRedefine/>
    <w:semiHidden/>
    <w:pPr>
      <w:spacing w:before="0" w:after="0"/>
      <w:ind w:left="800"/>
    </w:pPr>
    <w:rPr>
      <w:rFonts w:ascii="Times New Roman" w:hAnsi="Times New Roman"/>
      <w:sz w:val="18"/>
    </w:rPr>
  </w:style>
  <w:style w:type="paragraph" w:styleId="TM6">
    <w:name w:val="toc 6"/>
    <w:basedOn w:val="Normal"/>
    <w:next w:val="Normal"/>
    <w:autoRedefine/>
    <w:semiHidden/>
    <w:pPr>
      <w:spacing w:before="0" w:after="0"/>
      <w:ind w:left="1000"/>
    </w:pPr>
    <w:rPr>
      <w:rFonts w:ascii="Times New Roman" w:hAnsi="Times New Roman"/>
      <w:sz w:val="18"/>
    </w:rPr>
  </w:style>
  <w:style w:type="paragraph" w:styleId="TM7">
    <w:name w:val="toc 7"/>
    <w:basedOn w:val="Normal"/>
    <w:next w:val="Normal"/>
    <w:autoRedefine/>
    <w:semiHidden/>
    <w:pPr>
      <w:spacing w:before="0" w:after="0"/>
      <w:ind w:left="1200"/>
    </w:pPr>
    <w:rPr>
      <w:rFonts w:ascii="Times New Roman" w:hAnsi="Times New Roman"/>
      <w:sz w:val="18"/>
    </w:rPr>
  </w:style>
  <w:style w:type="paragraph" w:styleId="TM8">
    <w:name w:val="toc 8"/>
    <w:basedOn w:val="Normal"/>
    <w:next w:val="Normal"/>
    <w:autoRedefine/>
    <w:semiHidden/>
    <w:pPr>
      <w:spacing w:before="0" w:after="0"/>
      <w:ind w:left="1400"/>
    </w:pPr>
    <w:rPr>
      <w:rFonts w:ascii="Times New Roman" w:hAnsi="Times New Roman"/>
      <w:sz w:val="18"/>
    </w:rPr>
  </w:style>
  <w:style w:type="paragraph" w:styleId="TM9">
    <w:name w:val="toc 9"/>
    <w:basedOn w:val="Normal"/>
    <w:next w:val="Normal"/>
    <w:autoRedefine/>
    <w:semiHidden/>
    <w:pPr>
      <w:spacing w:before="0" w:after="0"/>
      <w:ind w:left="1600"/>
    </w:pPr>
    <w:rPr>
      <w:rFonts w:ascii="Times New Roman" w:hAnsi="Times New Roman"/>
      <w:sz w:val="18"/>
    </w:rPr>
  </w:style>
  <w:style w:type="character" w:styleId="Lienhypertextesuivivisit">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eastAsia="en-US"/>
    </w:rPr>
  </w:style>
  <w:style w:type="paragraph" w:customStyle="1" w:styleId="Section">
    <w:name w:val="Section"/>
    <w:basedOn w:val="Normal"/>
    <w:pPr>
      <w:widowControl w:val="0"/>
      <w:spacing w:before="0" w:after="0" w:line="360" w:lineRule="exact"/>
      <w:jc w:val="center"/>
    </w:pPr>
    <w:rPr>
      <w:b/>
      <w:sz w:val="32"/>
    </w:rPr>
  </w:style>
  <w:style w:type="paragraph" w:customStyle="1" w:styleId="ManualNumPar1">
    <w:name w:val="Manual NumPar 1"/>
    <w:basedOn w:val="Normal"/>
    <w:next w:val="Normal"/>
    <w:pPr>
      <w:ind w:left="851" w:hanging="851"/>
      <w:jc w:val="both"/>
    </w:pPr>
    <w:rPr>
      <w:rFonts w:ascii="Times New Roman" w:hAnsi="Times New Roman"/>
      <w:sz w:val="24"/>
    </w:rPr>
  </w:style>
  <w:style w:type="table" w:styleId="Grilledutableau">
    <w:name w:val="Table Grid"/>
    <w:basedOn w:val="Tableau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rPr>
  </w:style>
  <w:style w:type="paragraph" w:styleId="Textedebulles">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Titre1"/>
    <w:autoRedefine/>
    <w:rsid w:val="00A4424B"/>
    <w:pPr>
      <w:spacing w:before="120" w:after="120"/>
    </w:pPr>
    <w:rPr>
      <w:bCs/>
      <w:iCs/>
      <w:sz w:val="24"/>
      <w:szCs w:val="24"/>
    </w:rPr>
  </w:style>
  <w:style w:type="character" w:customStyle="1" w:styleId="Titre2Car">
    <w:name w:val="Titre 2 Car"/>
    <w:link w:val="Titre2"/>
    <w:semiHidden/>
    <w:locked/>
    <w:rsid w:val="0047783A"/>
    <w:rPr>
      <w:rFonts w:ascii="Arial" w:hAnsi="Arial"/>
      <w:snapToGrid w:val="0"/>
      <w:lang w:val="fr-FR" w:eastAsia="en-US" w:bidi="ar-SA"/>
    </w:rPr>
  </w:style>
  <w:style w:type="character" w:customStyle="1" w:styleId="Titre1Car">
    <w:name w:val="Titre 1 Car"/>
    <w:link w:val="Titre1"/>
    <w:rsid w:val="009956B4"/>
    <w:rPr>
      <w:b/>
      <w:snapToGrid w:val="0"/>
      <w:sz w:val="28"/>
      <w:lang w:val="fr-FR" w:eastAsia="en-US"/>
    </w:rPr>
  </w:style>
  <w:style w:type="character" w:customStyle="1" w:styleId="Heading1Char">
    <w:name w:val="Heading 1 Char"/>
    <w:locked/>
    <w:rsid w:val="0047783A"/>
    <w:rPr>
      <w:b/>
      <w:sz w:val="24"/>
      <w:szCs w:val="24"/>
      <w:lang w:val="fr-FR" w:eastAsia="en-US" w:bidi="ar-SA"/>
    </w:rPr>
  </w:style>
  <w:style w:type="character" w:customStyle="1" w:styleId="Titre3Car">
    <w:name w:val="Titre 3 Car"/>
    <w:link w:val="Titre3"/>
    <w:semiHidden/>
    <w:locked/>
    <w:rsid w:val="0047783A"/>
    <w:rPr>
      <w:rFonts w:ascii="Arial" w:hAnsi="Arial"/>
      <w:snapToGrid w:val="0"/>
      <w:lang w:val="fr-FR" w:eastAsia="en-US" w:bidi="ar-SA"/>
    </w:rPr>
  </w:style>
  <w:style w:type="character" w:customStyle="1" w:styleId="Titre4Car">
    <w:name w:val="Titre 4 Car"/>
    <w:link w:val="Titre4"/>
    <w:semiHidden/>
    <w:locked/>
    <w:rsid w:val="0047783A"/>
    <w:rPr>
      <w:rFonts w:ascii="Arial" w:hAnsi="Arial"/>
      <w:b/>
      <w:snapToGrid w:val="0"/>
      <w:sz w:val="24"/>
      <w:lang w:val="fr-FR" w:eastAsia="en-US" w:bidi="ar-SA"/>
    </w:rPr>
  </w:style>
  <w:style w:type="character" w:customStyle="1" w:styleId="Titre5Car">
    <w:name w:val="Titre 5 Car"/>
    <w:link w:val="Titre5"/>
    <w:semiHidden/>
    <w:locked/>
    <w:rsid w:val="0047783A"/>
    <w:rPr>
      <w:rFonts w:ascii="Arial" w:hAnsi="Arial"/>
      <w:snapToGrid w:val="0"/>
      <w:sz w:val="22"/>
      <w:lang w:val="fr-FR" w:eastAsia="en-US" w:bidi="ar-SA"/>
    </w:rPr>
  </w:style>
  <w:style w:type="character" w:customStyle="1" w:styleId="Titre6Car">
    <w:name w:val="Titre 6 Car"/>
    <w:link w:val="Titre6"/>
    <w:semiHidden/>
    <w:locked/>
    <w:rsid w:val="0047783A"/>
    <w:rPr>
      <w:rFonts w:ascii="Arial" w:hAnsi="Arial"/>
      <w:i/>
      <w:snapToGrid w:val="0"/>
      <w:sz w:val="22"/>
      <w:lang w:val="fr-FR" w:eastAsia="en-US" w:bidi="ar-SA"/>
    </w:rPr>
  </w:style>
  <w:style w:type="character" w:customStyle="1" w:styleId="Titre7Car">
    <w:name w:val="Titre 7 Car"/>
    <w:link w:val="Titre7"/>
    <w:semiHidden/>
    <w:locked/>
    <w:rsid w:val="0047783A"/>
    <w:rPr>
      <w:rFonts w:ascii="Arial" w:hAnsi="Arial"/>
      <w:snapToGrid w:val="0"/>
      <w:lang w:val="fr-FR" w:eastAsia="en-US" w:bidi="ar-SA"/>
    </w:rPr>
  </w:style>
  <w:style w:type="character" w:customStyle="1" w:styleId="Titre8Car">
    <w:name w:val="Titre 8 Car"/>
    <w:link w:val="Titre8"/>
    <w:semiHidden/>
    <w:locked/>
    <w:rsid w:val="0047783A"/>
    <w:rPr>
      <w:rFonts w:ascii="Arial" w:hAnsi="Arial"/>
      <w:i/>
      <w:snapToGrid w:val="0"/>
      <w:lang w:val="fr-FR" w:eastAsia="en-US" w:bidi="ar-SA"/>
    </w:rPr>
  </w:style>
  <w:style w:type="character" w:customStyle="1" w:styleId="Titre9Car">
    <w:name w:val="Titre 9 Car"/>
    <w:link w:val="Titre9"/>
    <w:semiHidden/>
    <w:locked/>
    <w:rsid w:val="0047783A"/>
    <w:rPr>
      <w:rFonts w:ascii="Arial" w:hAnsi="Arial"/>
      <w:b/>
      <w:i/>
      <w:snapToGrid w:val="0"/>
      <w:sz w:val="18"/>
      <w:lang w:val="fr-FR" w:eastAsia="en-US" w:bidi="ar-SA"/>
    </w:rPr>
  </w:style>
  <w:style w:type="character" w:customStyle="1" w:styleId="TitreCar">
    <w:name w:val="Titre Car"/>
    <w:link w:val="Titre"/>
    <w:locked/>
    <w:rsid w:val="0047783A"/>
    <w:rPr>
      <w:rFonts w:ascii="Arial" w:hAnsi="Arial"/>
      <w:b/>
      <w:snapToGrid w:val="0"/>
      <w:sz w:val="28"/>
      <w:lang w:val="fr-FR" w:eastAsia="en-US" w:bidi="ar-SA"/>
    </w:rPr>
  </w:style>
  <w:style w:type="character" w:customStyle="1" w:styleId="Sous-titreCar">
    <w:name w:val="Sous-titre Car"/>
    <w:link w:val="Sous-titre"/>
    <w:locked/>
    <w:rsid w:val="0047783A"/>
    <w:rPr>
      <w:rFonts w:ascii="Arial" w:hAnsi="Arial"/>
      <w:b/>
      <w:snapToGrid w:val="0"/>
      <w:sz w:val="28"/>
      <w:lang w:val="fr-FR" w:eastAsia="en-US" w:bidi="ar-SA"/>
    </w:rPr>
  </w:style>
  <w:style w:type="character" w:customStyle="1" w:styleId="RetraitcorpsdetexteCar">
    <w:name w:val="Retrait corps de texte Car"/>
    <w:link w:val="Retraitcorpsdetexte"/>
    <w:semiHidden/>
    <w:locked/>
    <w:rsid w:val="0047783A"/>
    <w:rPr>
      <w:snapToGrid w:val="0"/>
      <w:sz w:val="24"/>
      <w:lang w:val="fr-FR" w:eastAsia="en-US" w:bidi="ar-SA"/>
    </w:rPr>
  </w:style>
  <w:style w:type="character" w:customStyle="1" w:styleId="CorpsdetexteCar">
    <w:name w:val="Corps de texte Car"/>
    <w:link w:val="Corpsdetexte"/>
    <w:semiHidden/>
    <w:locked/>
    <w:rsid w:val="0047783A"/>
    <w:rPr>
      <w:rFonts w:ascii="Arial" w:hAnsi="Arial"/>
      <w:snapToGrid w:val="0"/>
      <w:lang w:val="fr-FR" w:eastAsia="en-US" w:bidi="ar-SA"/>
    </w:rPr>
  </w:style>
  <w:style w:type="character" w:customStyle="1" w:styleId="Retraitcorpsdetexte2Car">
    <w:name w:val="Retrait corps de texte 2 Car"/>
    <w:link w:val="Retraitcorpsdetexte2"/>
    <w:semiHidden/>
    <w:locked/>
    <w:rsid w:val="0047783A"/>
    <w:rPr>
      <w:rFonts w:ascii="Arial" w:hAnsi="Arial"/>
      <w:snapToGrid w:val="0"/>
      <w:sz w:val="24"/>
      <w:u w:val="single"/>
      <w:lang w:val="fr-FR" w:eastAsia="en-US" w:bidi="ar-SA"/>
    </w:rPr>
  </w:style>
  <w:style w:type="character" w:customStyle="1" w:styleId="Retraitcorpsdetexte3Car">
    <w:name w:val="Retrait corps de texte 3 Car"/>
    <w:link w:val="Retraitcorpsdetexte3"/>
    <w:semiHidden/>
    <w:locked/>
    <w:rsid w:val="0047783A"/>
    <w:rPr>
      <w:rFonts w:ascii="Arial" w:hAnsi="Arial"/>
      <w:snapToGrid w:val="0"/>
      <w:sz w:val="24"/>
      <w:lang w:val="fr-FR" w:eastAsia="en-US" w:bidi="ar-SA"/>
    </w:rPr>
  </w:style>
  <w:style w:type="character" w:customStyle="1" w:styleId="En-tteCar">
    <w:name w:val="En-tête Car"/>
    <w:link w:val="En-tte"/>
    <w:semiHidden/>
    <w:locked/>
    <w:rsid w:val="0047783A"/>
    <w:rPr>
      <w:rFonts w:ascii="Arial" w:hAnsi="Arial"/>
      <w:snapToGrid w:val="0"/>
      <w:lang w:val="fr-FR" w:eastAsia="en-US" w:bidi="ar-SA"/>
    </w:rPr>
  </w:style>
  <w:style w:type="character" w:customStyle="1" w:styleId="PieddepageCar">
    <w:name w:val="Pied de page Car"/>
    <w:link w:val="Pieddepage"/>
    <w:semiHidden/>
    <w:locked/>
    <w:rsid w:val="0047783A"/>
    <w:rPr>
      <w:rFonts w:ascii="Arial" w:hAnsi="Arial"/>
      <w:snapToGrid w:val="0"/>
      <w:lang w:val="fr-FR" w:eastAsia="en-US" w:bidi="ar-SA"/>
    </w:rPr>
  </w:style>
  <w:style w:type="character" w:customStyle="1" w:styleId="Corpsdetexte3Car">
    <w:name w:val="Corps de texte 3 Car"/>
    <w:link w:val="Corpsdetexte3"/>
    <w:semiHidden/>
    <w:locked/>
    <w:rsid w:val="0047783A"/>
    <w:rPr>
      <w:rFonts w:ascii="Arial" w:hAnsi="Arial"/>
      <w:b/>
      <w:snapToGrid w:val="0"/>
      <w:sz w:val="24"/>
      <w:lang w:val="fr-FR" w:eastAsia="en-US" w:bidi="ar-SA"/>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link w:val="Notedebasdepage"/>
    <w:uiPriority w:val="99"/>
    <w:locked/>
    <w:rsid w:val="0047783A"/>
    <w:rPr>
      <w:rFonts w:ascii="Arial" w:hAnsi="Arial"/>
      <w:snapToGrid w:val="0"/>
      <w:lang w:val="fr-FR" w:eastAsia="en-US" w:bidi="ar-SA"/>
    </w:rPr>
  </w:style>
  <w:style w:type="character" w:customStyle="1" w:styleId="ExplorateurdedocumentsCar">
    <w:name w:val="Explorateur de documents Car"/>
    <w:link w:val="Explorateurdedocuments"/>
    <w:semiHidden/>
    <w:locked/>
    <w:rsid w:val="0047783A"/>
    <w:rPr>
      <w:rFonts w:ascii="Arial" w:hAnsi="Arial"/>
      <w:snapToGrid w:val="0"/>
      <w:sz w:val="24"/>
      <w:lang w:val="fr-FR" w:eastAsia="en-US" w:bidi="ar-SA"/>
    </w:rPr>
  </w:style>
  <w:style w:type="character" w:customStyle="1" w:styleId="Corpsdetexte2Car">
    <w:name w:val="Corps de texte 2 Car"/>
    <w:link w:val="Corpsdetexte2"/>
    <w:semiHidden/>
    <w:locked/>
    <w:rsid w:val="0047783A"/>
    <w:rPr>
      <w:sz w:val="24"/>
      <w:lang w:val="fr-FR"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ppeldenotedefin">
    <w:name w:val="endnote reference"/>
    <w:semiHidden/>
    <w:rsid w:val="0047783A"/>
    <w:rPr>
      <w:vertAlign w:val="superscript"/>
    </w:rPr>
  </w:style>
  <w:style w:type="paragraph" w:styleId="Notedefin">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rPr>
  </w:style>
  <w:style w:type="character" w:styleId="Marquedecommentaire">
    <w:name w:val="annotation reference"/>
    <w:rsid w:val="00EE23B1"/>
    <w:rPr>
      <w:sz w:val="16"/>
      <w:szCs w:val="16"/>
    </w:rPr>
  </w:style>
  <w:style w:type="paragraph" w:styleId="Commentaire">
    <w:name w:val="annotation text"/>
    <w:basedOn w:val="Normal"/>
    <w:link w:val="CommentaireCar"/>
    <w:rsid w:val="00EE23B1"/>
  </w:style>
  <w:style w:type="paragraph" w:styleId="Objetducommentaire">
    <w:name w:val="annotation subject"/>
    <w:basedOn w:val="Commentaire"/>
    <w:next w:val="Commentaire"/>
    <w:semiHidden/>
    <w:rsid w:val="00EE23B1"/>
    <w:rPr>
      <w:b/>
      <w:bCs/>
    </w:rPr>
  </w:style>
  <w:style w:type="paragraph" w:styleId="Paragraphedeliste">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rPr>
  </w:style>
  <w:style w:type="character" w:customStyle="1" w:styleId="CommentaireCar">
    <w:name w:val="Commentaire Car"/>
    <w:link w:val="Commentaire"/>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eastAsia="fr-BE"/>
    </w:rPr>
  </w:style>
  <w:style w:type="character" w:customStyle="1" w:styleId="normaltextrun">
    <w:name w:val="normaltextrun"/>
    <w:rsid w:val="00A808EF"/>
  </w:style>
  <w:style w:type="character" w:styleId="Accentuation">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FR/Annexes%23Annexes-AnnexesA(Ch.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FR/ePRA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895EA0-64CA-41B5-B5C9-7D3E22D76F6A}">
  <ds:schemaRefs>
    <ds:schemaRef ds:uri="http://schemas.microsoft.com/sharepoint/v3/contenttype/forms"/>
  </ds:schemaRefs>
</ds:datastoreItem>
</file>

<file path=customXml/itemProps2.xml><?xml version="1.0" encoding="utf-8"?>
<ds:datastoreItem xmlns:ds="http://schemas.openxmlformats.org/officeDocument/2006/customXml" ds:itemID="{65FA01C7-844C-4E58-9088-C4A296F283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967155-3578-4912-B7C9-605ECB7D14E4}">
  <ds:schemaRefs>
    <ds:schemaRef ds:uri="http://schemas.openxmlformats.org/officeDocument/2006/bibliography"/>
  </ds:schemaRefs>
</ds:datastoreItem>
</file>

<file path=customXml/itemProps4.xml><?xml version="1.0" encoding="utf-8"?>
<ds:datastoreItem xmlns:ds="http://schemas.openxmlformats.org/officeDocument/2006/customXml" ds:itemID="{484EE66E-4FBD-4950-AFE8-F8B022062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8061</Words>
  <Characters>44341</Characters>
  <Application>Microsoft Office Word</Application>
  <DocSecurity>0</DocSecurity>
  <Lines>369</Lines>
  <Paragraphs>104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52298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Ny hasina</cp:lastModifiedBy>
  <cp:revision>3</cp:revision>
  <cp:lastPrinted>2018-04-13T13:21:00Z</cp:lastPrinted>
  <dcterms:created xsi:type="dcterms:W3CDTF">2022-11-22T05:29:00Z</dcterms:created>
  <dcterms:modified xsi:type="dcterms:W3CDTF">2022-11-25T11:16:00Z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